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1A" w:rsidRPr="00FB63BA" w:rsidRDefault="00D2221A" w:rsidP="00D2221A">
      <w:pPr>
        <w:pStyle w:val="subhead-blue"/>
        <w:shd w:val="clear" w:color="auto" w:fill="1F497D" w:themeFill="text2"/>
        <w:spacing w:line="240" w:lineRule="auto"/>
        <w:contextualSpacing/>
        <w:jc w:val="center"/>
        <w:rPr>
          <w:rFonts w:ascii="TitilliumMaps26L" w:hAnsi="TitilliumMaps26L"/>
          <w:b/>
          <w:color w:val="F2F2F2" w:themeColor="background1" w:themeShade="F2"/>
          <w:sz w:val="28"/>
        </w:rPr>
      </w:pPr>
      <w:r w:rsidRPr="00FB63BA">
        <w:rPr>
          <w:rFonts w:ascii="TitilliumMaps26L" w:hAnsi="TitilliumMaps26L"/>
          <w:b/>
          <w:color w:val="F2F2F2" w:themeColor="background1" w:themeShade="F2"/>
          <w:sz w:val="28"/>
        </w:rPr>
        <w:t>Case Western Reserve University</w:t>
      </w:r>
    </w:p>
    <w:p w:rsidR="00D2221A" w:rsidRPr="00FB63BA" w:rsidRDefault="00D2221A" w:rsidP="00D2221A">
      <w:pPr>
        <w:pStyle w:val="subhead-blue"/>
        <w:shd w:val="clear" w:color="auto" w:fill="1F497D" w:themeFill="text2"/>
        <w:spacing w:line="240" w:lineRule="auto"/>
        <w:contextualSpacing/>
        <w:jc w:val="center"/>
        <w:rPr>
          <w:rFonts w:ascii="TitilliumMaps26L" w:hAnsi="TitilliumMaps26L"/>
          <w:b/>
          <w:color w:val="F2F2F2" w:themeColor="background1" w:themeShade="F2"/>
          <w:sz w:val="28"/>
        </w:rPr>
      </w:pPr>
      <w:r w:rsidRPr="00FB63BA">
        <w:rPr>
          <w:rFonts w:ascii="TitilliumMaps26L" w:hAnsi="TitilliumMaps26L"/>
          <w:b/>
          <w:color w:val="F2F2F2" w:themeColor="background1" w:themeShade="F2"/>
          <w:sz w:val="28"/>
        </w:rPr>
        <w:t>School of Dental Medicine</w:t>
      </w:r>
    </w:p>
    <w:p w:rsidR="00E93333" w:rsidRPr="00D2221A" w:rsidRDefault="00D2221A" w:rsidP="00D2221A">
      <w:pPr>
        <w:pStyle w:val="subhead-blue"/>
        <w:shd w:val="clear" w:color="auto" w:fill="1F497D" w:themeFill="text2"/>
        <w:spacing w:line="240" w:lineRule="auto"/>
        <w:contextualSpacing/>
        <w:jc w:val="center"/>
        <w:rPr>
          <w:rFonts w:ascii="TitilliumMaps26L" w:hAnsi="TitilliumMaps26L"/>
          <w:b/>
          <w:color w:val="F2F2F2" w:themeColor="background1" w:themeShade="F2"/>
          <w:sz w:val="28"/>
        </w:rPr>
      </w:pPr>
      <w:r>
        <w:rPr>
          <w:rFonts w:ascii="TitilliumMaps26L" w:hAnsi="TitilliumMaps26L"/>
          <w:b/>
          <w:color w:val="F2F2F2" w:themeColor="background1" w:themeShade="F2"/>
          <w:sz w:val="28"/>
        </w:rPr>
        <w:t>Student Academic Integrity Certification</w:t>
      </w:r>
    </w:p>
    <w:p w:rsidR="00580BF3" w:rsidRPr="00E93333" w:rsidRDefault="00580BF3" w:rsidP="00E933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E93333" w:rsidRPr="002E352C" w:rsidRDefault="00E93333" w:rsidP="00E933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tilliumMaps26L" w:hAnsi="TitilliumMaps26L" w:cs="Arial"/>
          <w:sz w:val="24"/>
          <w:szCs w:val="24"/>
        </w:rPr>
      </w:pPr>
      <w:r w:rsidRPr="002E352C">
        <w:rPr>
          <w:rFonts w:ascii="TitilliumMaps26L" w:hAnsi="TitilliumMaps26L" w:cs="Arial"/>
          <w:sz w:val="24"/>
          <w:szCs w:val="24"/>
        </w:rPr>
        <w:t>The School of Dental Medicine Student Code of Conduct contains the following statement:</w:t>
      </w:r>
    </w:p>
    <w:p w:rsidR="00E93333" w:rsidRPr="002E352C" w:rsidRDefault="00E93333" w:rsidP="00D2221A">
      <w:pPr>
        <w:numPr>
          <w:ilvl w:val="12"/>
          <w:numId w:val="0"/>
        </w:numPr>
        <w:tabs>
          <w:tab w:val="left" w:pos="0"/>
          <w:tab w:val="left" w:pos="720"/>
        </w:tabs>
        <w:ind w:left="720"/>
        <w:rPr>
          <w:rFonts w:ascii="TitilliumMaps26L" w:hAnsi="TitilliumMaps26L" w:cs="Arial"/>
          <w:sz w:val="24"/>
          <w:szCs w:val="24"/>
        </w:rPr>
      </w:pPr>
      <w:r w:rsidRPr="002E352C">
        <w:rPr>
          <w:rFonts w:ascii="TitilliumMaps26L" w:hAnsi="TitilliumMaps26L" w:cs="Arial"/>
          <w:noProof/>
          <w:sz w:val="24"/>
          <w:szCs w:val="24"/>
        </w:rPr>
        <mc:AlternateContent>
          <mc:Choice Requires="wps">
            <w:drawing>
              <wp:anchor distT="0" distB="0" distL="114300" distR="114300" simplePos="0" relativeHeight="251659264" behindDoc="1" locked="0" layoutInCell="1" allowOverlap="1" wp14:anchorId="1F2C0C04" wp14:editId="77D5BAD5">
                <wp:simplePos x="0" y="0"/>
                <wp:positionH relativeFrom="column">
                  <wp:posOffset>-4445</wp:posOffset>
                </wp:positionH>
                <wp:positionV relativeFrom="paragraph">
                  <wp:posOffset>90805</wp:posOffset>
                </wp:positionV>
                <wp:extent cx="5970960" cy="2600076"/>
                <wp:effectExtent l="19050" t="19050" r="10795" b="10160"/>
                <wp:wrapNone/>
                <wp:docPr id="1" name="Rectangle 1"/>
                <wp:cNvGraphicFramePr/>
                <a:graphic xmlns:a="http://schemas.openxmlformats.org/drawingml/2006/main">
                  <a:graphicData uri="http://schemas.microsoft.com/office/word/2010/wordprocessingShape">
                    <wps:wsp>
                      <wps:cNvSpPr/>
                      <wps:spPr>
                        <a:xfrm>
                          <a:off x="0" y="0"/>
                          <a:ext cx="5970960" cy="2600076"/>
                        </a:xfrm>
                        <a:prstGeom prst="rect">
                          <a:avLst/>
                        </a:prstGeom>
                        <a:ln w="44450" cmpd="thickThin">
                          <a:solidFill>
                            <a:schemeClr val="accent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pt;margin-top:7.15pt;width:470.15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" fillcolor="white [3201]" strokecolor="#243f60 [1604]" strokeweight="3.5pt">
                <v:stroke linestyle="thickThin"/>
              </v:rect>
            </w:pict>
          </mc:Fallback>
        </mc:AlternateContent>
      </w:r>
      <w:r w:rsidR="00D2221A" w:rsidRPr="002E352C">
        <w:rPr>
          <w:rFonts w:ascii="TitilliumMaps26L" w:hAnsi="TitilliumMaps26L" w:cs="Arial"/>
          <w:sz w:val="24"/>
          <w:szCs w:val="24"/>
        </w:rPr>
        <w:tab/>
      </w:r>
      <w:r w:rsidR="00D2221A" w:rsidRPr="002E352C">
        <w:rPr>
          <w:rFonts w:ascii="TitilliumMaps26L" w:hAnsi="TitilliumMaps26L" w:cs="Arial"/>
          <w:sz w:val="24"/>
          <w:szCs w:val="24"/>
        </w:rPr>
        <w:tab/>
      </w:r>
      <w:r w:rsidR="00D2221A" w:rsidRPr="002E352C">
        <w:rPr>
          <w:rFonts w:ascii="TitilliumMaps26L" w:hAnsi="TitilliumMaps26L" w:cs="Arial"/>
          <w:sz w:val="24"/>
          <w:szCs w:val="24"/>
        </w:rPr>
        <w:tab/>
      </w:r>
      <w:r w:rsidR="00D2221A" w:rsidRPr="002E352C">
        <w:rPr>
          <w:rFonts w:ascii="TitilliumMaps26L" w:hAnsi="TitilliumMaps26L" w:cs="Arial"/>
          <w:sz w:val="24"/>
          <w:szCs w:val="24"/>
        </w:rPr>
        <w:tab/>
      </w:r>
    </w:p>
    <w:p w:rsidR="00E93333" w:rsidRPr="002E352C" w:rsidRDefault="00E93333" w:rsidP="00D2221A">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Pr>
          <w:rFonts w:ascii="TitilliumMaps26L" w:hAnsi="TitilliumMaps26L" w:cs="Arial"/>
          <w:sz w:val="24"/>
          <w:szCs w:val="24"/>
        </w:rPr>
      </w:pPr>
      <w:r w:rsidRPr="002E352C">
        <w:rPr>
          <w:rFonts w:ascii="TitilliumMaps26L" w:hAnsi="TitilliumMaps26L" w:cs="Arial"/>
          <w:b/>
          <w:sz w:val="24"/>
          <w:szCs w:val="24"/>
          <w:u w:val="single"/>
        </w:rPr>
        <w:t>Performance on Exams Should Reflect the Student’s Ability</w:t>
      </w:r>
      <w:r w:rsidR="0056469B">
        <w:rPr>
          <w:rFonts w:ascii="TitilliumMaps26L" w:hAnsi="TitilliumMaps26L" w:cs="Arial"/>
          <w:sz w:val="24"/>
          <w:szCs w:val="24"/>
          <w:u w:val="single"/>
        </w:rPr>
        <w:t>.</w:t>
      </w:r>
      <w:r w:rsidRPr="002E352C">
        <w:rPr>
          <w:rFonts w:ascii="TitilliumMaps26L" w:hAnsi="TitilliumMaps26L" w:cs="Arial"/>
          <w:sz w:val="24"/>
          <w:szCs w:val="24"/>
        </w:rPr>
        <w:t xml:space="preserve">  </w:t>
      </w:r>
    </w:p>
    <w:p w:rsidR="00E93333" w:rsidRPr="002E352C" w:rsidRDefault="00E93333" w:rsidP="00D2221A">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Pr>
          <w:rFonts w:ascii="TitilliumMaps26L" w:hAnsi="TitilliumMaps26L" w:cs="Arial"/>
          <w:sz w:val="24"/>
          <w:szCs w:val="24"/>
        </w:rPr>
      </w:pPr>
    </w:p>
    <w:p w:rsidR="00E93333" w:rsidRPr="002E352C" w:rsidRDefault="00E93333" w:rsidP="002E352C">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90"/>
        <w:rPr>
          <w:rFonts w:ascii="TitilliumMaps26L" w:hAnsi="TitilliumMaps26L" w:cs="Arial"/>
          <w:sz w:val="24"/>
          <w:szCs w:val="24"/>
        </w:rPr>
      </w:pPr>
      <w:r w:rsidRPr="002E352C">
        <w:rPr>
          <w:rFonts w:ascii="TitilliumMaps26L" w:hAnsi="TitilliumMaps26L" w:cs="Arial"/>
          <w:sz w:val="24"/>
          <w:szCs w:val="24"/>
        </w:rPr>
        <w:t>Violations of this standard include:</w:t>
      </w:r>
    </w:p>
    <w:p w:rsidR="00E93333" w:rsidRPr="002E352C" w:rsidRDefault="00E93333" w:rsidP="0056469B">
      <w:pPr>
        <w:numPr>
          <w:ilvl w:val="12"/>
          <w:numId w:val="0"/>
        </w:numPr>
        <w:tabs>
          <w:tab w:val="left" w:pos="4320"/>
          <w:tab w:val="left" w:pos="5040"/>
          <w:tab w:val="left" w:pos="5760"/>
          <w:tab w:val="left" w:pos="6480"/>
          <w:tab w:val="left" w:pos="7200"/>
          <w:tab w:val="left" w:pos="7920"/>
          <w:tab w:val="left" w:pos="8640"/>
        </w:tabs>
        <w:spacing w:after="160"/>
        <w:ind w:left="720" w:right="180" w:hanging="360"/>
        <w:rPr>
          <w:rFonts w:ascii="TitilliumMaps26L" w:hAnsi="TitilliumMaps26L" w:cs="Arial"/>
          <w:sz w:val="24"/>
          <w:szCs w:val="24"/>
        </w:rPr>
      </w:pPr>
      <w:r w:rsidRPr="002E352C">
        <w:rPr>
          <w:rFonts w:ascii="TitilliumMaps26L" w:hAnsi="TitilliumMaps26L" w:cs="Arial"/>
          <w:sz w:val="24"/>
          <w:szCs w:val="24"/>
        </w:rPr>
        <w:t xml:space="preserve">a) </w:t>
      </w:r>
      <w:r w:rsidR="00D2221A" w:rsidRPr="002E352C">
        <w:rPr>
          <w:rFonts w:ascii="TitilliumMaps26L" w:hAnsi="TitilliumMaps26L" w:cs="Arial"/>
          <w:sz w:val="24"/>
          <w:szCs w:val="24"/>
        </w:rPr>
        <w:tab/>
      </w:r>
      <w:r w:rsidRPr="002E352C">
        <w:rPr>
          <w:rFonts w:ascii="TitilliumMaps26L" w:hAnsi="TitilliumMaps26L" w:cs="Arial"/>
          <w:sz w:val="24"/>
          <w:szCs w:val="24"/>
        </w:rPr>
        <w:t xml:space="preserve">Giving or receiving privileged information regarding the specific content of an examination, prior to test time, which is not common knowledge of the participants, with the intent of gaining an unfair advantage. </w:t>
      </w:r>
    </w:p>
    <w:p w:rsidR="00E93333" w:rsidRPr="002E352C" w:rsidRDefault="00E93333" w:rsidP="0056469B">
      <w:pPr>
        <w:numPr>
          <w:ilvl w:val="12"/>
          <w:numId w:val="0"/>
        </w:numPr>
        <w:tabs>
          <w:tab w:val="left" w:pos="4320"/>
          <w:tab w:val="left" w:pos="5040"/>
          <w:tab w:val="left" w:pos="5760"/>
          <w:tab w:val="left" w:pos="6480"/>
          <w:tab w:val="left" w:pos="7200"/>
          <w:tab w:val="left" w:pos="7920"/>
          <w:tab w:val="left" w:pos="8640"/>
        </w:tabs>
        <w:spacing w:after="160"/>
        <w:ind w:left="720" w:right="180" w:hanging="360"/>
        <w:rPr>
          <w:rFonts w:ascii="TitilliumMaps26L" w:hAnsi="TitilliumMaps26L" w:cs="Arial"/>
          <w:sz w:val="24"/>
          <w:szCs w:val="24"/>
        </w:rPr>
      </w:pPr>
      <w:r w:rsidRPr="002E352C">
        <w:rPr>
          <w:rFonts w:ascii="TitilliumMaps26L" w:hAnsi="TitilliumMaps26L" w:cs="Arial"/>
          <w:sz w:val="24"/>
          <w:szCs w:val="24"/>
        </w:rPr>
        <w:t xml:space="preserve">b) </w:t>
      </w:r>
      <w:r w:rsidR="00D2221A" w:rsidRPr="002E352C">
        <w:rPr>
          <w:rFonts w:ascii="TitilliumMaps26L" w:hAnsi="TitilliumMaps26L" w:cs="Arial"/>
          <w:sz w:val="24"/>
          <w:szCs w:val="24"/>
        </w:rPr>
        <w:tab/>
      </w:r>
      <w:r w:rsidRPr="002E352C">
        <w:rPr>
          <w:rFonts w:ascii="TitilliumMaps26L" w:hAnsi="TitilliumMaps26L" w:cs="Arial"/>
          <w:sz w:val="24"/>
          <w:szCs w:val="24"/>
        </w:rPr>
        <w:t>Giving, receiving, or using unauthorized aid during an examination, quiz, or competency.</w:t>
      </w:r>
    </w:p>
    <w:p w:rsidR="00E93333" w:rsidRPr="002E352C" w:rsidRDefault="00E93333" w:rsidP="0056469B">
      <w:pPr>
        <w:numPr>
          <w:ilvl w:val="12"/>
          <w:numId w:val="0"/>
        </w:numPr>
        <w:tabs>
          <w:tab w:val="left" w:pos="4320"/>
          <w:tab w:val="left" w:pos="5040"/>
          <w:tab w:val="left" w:pos="5760"/>
          <w:tab w:val="left" w:pos="6480"/>
          <w:tab w:val="left" w:pos="7200"/>
          <w:tab w:val="left" w:pos="7920"/>
          <w:tab w:val="left" w:pos="8640"/>
        </w:tabs>
        <w:spacing w:after="160"/>
        <w:ind w:left="720" w:right="180" w:hanging="360"/>
        <w:rPr>
          <w:rFonts w:ascii="TitilliumMaps26L" w:hAnsi="TitilliumMaps26L" w:cs="Arial"/>
          <w:sz w:val="24"/>
          <w:szCs w:val="24"/>
        </w:rPr>
      </w:pPr>
      <w:r w:rsidRPr="002E352C">
        <w:rPr>
          <w:rFonts w:ascii="TitilliumMaps26L" w:hAnsi="TitilliumMaps26L" w:cs="Arial"/>
          <w:sz w:val="24"/>
          <w:szCs w:val="24"/>
        </w:rPr>
        <w:t xml:space="preserve">c) </w:t>
      </w:r>
      <w:r w:rsidR="00D2221A" w:rsidRPr="002E352C">
        <w:rPr>
          <w:rFonts w:ascii="TitilliumMaps26L" w:hAnsi="TitilliumMaps26L" w:cs="Arial"/>
          <w:sz w:val="24"/>
          <w:szCs w:val="24"/>
        </w:rPr>
        <w:tab/>
      </w:r>
      <w:r w:rsidRPr="002E352C">
        <w:rPr>
          <w:rFonts w:ascii="TitilliumMaps26L" w:hAnsi="TitilliumMaps26L" w:cs="Arial"/>
          <w:sz w:val="24"/>
          <w:szCs w:val="24"/>
        </w:rPr>
        <w:t>Disclosing the contents of an exam to a student who has yet to take the exam.</w:t>
      </w:r>
    </w:p>
    <w:p w:rsidR="00E93333" w:rsidRPr="002E352C" w:rsidRDefault="00E93333" w:rsidP="0056469B">
      <w:pPr>
        <w:numPr>
          <w:ilvl w:val="12"/>
          <w:numId w:val="0"/>
        </w:numPr>
        <w:tabs>
          <w:tab w:val="left" w:pos="4320"/>
          <w:tab w:val="left" w:pos="5040"/>
          <w:tab w:val="left" w:pos="5760"/>
          <w:tab w:val="left" w:pos="6480"/>
          <w:tab w:val="left" w:pos="7200"/>
          <w:tab w:val="left" w:pos="7920"/>
          <w:tab w:val="left" w:pos="8640"/>
        </w:tabs>
        <w:spacing w:after="160"/>
        <w:ind w:left="720" w:right="180" w:hanging="360"/>
        <w:rPr>
          <w:rFonts w:ascii="TitilliumMaps26L" w:hAnsi="TitilliumMaps26L" w:cs="Arial"/>
          <w:sz w:val="24"/>
          <w:szCs w:val="24"/>
        </w:rPr>
      </w:pPr>
      <w:r w:rsidRPr="002E352C">
        <w:rPr>
          <w:rFonts w:ascii="TitilliumMaps26L" w:hAnsi="TitilliumMaps26L" w:cs="Arial"/>
          <w:sz w:val="24"/>
          <w:szCs w:val="24"/>
        </w:rPr>
        <w:t xml:space="preserve">d) </w:t>
      </w:r>
      <w:r w:rsidR="00D2221A" w:rsidRPr="002E352C">
        <w:rPr>
          <w:rFonts w:ascii="TitilliumMaps26L" w:hAnsi="TitilliumMaps26L" w:cs="Arial"/>
          <w:sz w:val="24"/>
          <w:szCs w:val="24"/>
        </w:rPr>
        <w:tab/>
      </w:r>
      <w:r w:rsidRPr="002E352C">
        <w:rPr>
          <w:rFonts w:ascii="TitilliumMaps26L" w:hAnsi="TitilliumMaps26L" w:cs="Arial"/>
          <w:sz w:val="24"/>
          <w:szCs w:val="24"/>
        </w:rPr>
        <w:t>Making an unauthorized copy of an exam or portion thereof, or retaining possession of any exam, which the instructor has no intention of releasing.</w:t>
      </w:r>
    </w:p>
    <w:p w:rsidR="00E93333" w:rsidRPr="002E352C" w:rsidRDefault="00E93333">
      <w:pPr>
        <w:rPr>
          <w:rFonts w:ascii="TitilliumMaps26L" w:hAnsi="TitilliumMaps26L" w:cs="Arial"/>
          <w:sz w:val="24"/>
          <w:szCs w:val="24"/>
        </w:rPr>
      </w:pPr>
    </w:p>
    <w:p w:rsidR="0056469B" w:rsidRDefault="0056469B">
      <w:pPr>
        <w:rPr>
          <w:rFonts w:ascii="TitilliumMaps26L" w:hAnsi="TitilliumMaps26L" w:cs="Arial"/>
          <w:sz w:val="24"/>
          <w:szCs w:val="24"/>
        </w:rPr>
      </w:pPr>
    </w:p>
    <w:p w:rsidR="00E93333" w:rsidRPr="0056469B" w:rsidRDefault="00E93333">
      <w:pPr>
        <w:rPr>
          <w:rFonts w:ascii="TitilliumMaps26L" w:hAnsi="TitilliumMaps26L" w:cs="Arial"/>
          <w:sz w:val="36"/>
          <w:szCs w:val="36"/>
        </w:rPr>
      </w:pPr>
      <w:r w:rsidRPr="0056469B">
        <w:rPr>
          <w:rFonts w:ascii="TitilliumMaps26L" w:hAnsi="TitilliumMaps26L" w:cs="Arial"/>
          <w:sz w:val="36"/>
          <w:szCs w:val="36"/>
        </w:rPr>
        <w:t>I certify that I have read and agr</w:t>
      </w:r>
      <w:r w:rsidR="00A45F06" w:rsidRPr="0056469B">
        <w:rPr>
          <w:rFonts w:ascii="TitilliumMaps26L" w:hAnsi="TitilliumMaps26L" w:cs="Arial"/>
          <w:sz w:val="36"/>
          <w:szCs w:val="36"/>
        </w:rPr>
        <w:t>ee to comply with the statement above and with the School of Dental Medicine Exam Administration Rules for Students.</w:t>
      </w:r>
    </w:p>
    <w:p w:rsidR="00E93333" w:rsidRPr="002E352C" w:rsidRDefault="00E93333">
      <w:pPr>
        <w:rPr>
          <w:rFonts w:ascii="TitilliumMaps26L" w:hAnsi="TitilliumMaps26L" w:cs="Arial"/>
          <w:sz w:val="24"/>
          <w:szCs w:val="24"/>
        </w:rPr>
      </w:pPr>
    </w:p>
    <w:p w:rsidR="00EE32BF" w:rsidRPr="002E352C" w:rsidRDefault="00EE32BF">
      <w:pPr>
        <w:rPr>
          <w:rFonts w:ascii="TitilliumMaps26L" w:hAnsi="TitilliumMaps26L" w:cs="Arial"/>
          <w:sz w:val="24"/>
          <w:szCs w:val="24"/>
        </w:rPr>
      </w:pPr>
    </w:p>
    <w:p w:rsidR="00EE32BF" w:rsidRPr="002E352C" w:rsidRDefault="00EE32BF">
      <w:pPr>
        <w:rPr>
          <w:rFonts w:ascii="TitilliumMaps26L" w:hAnsi="TitilliumMaps26L" w:cs="Arial"/>
          <w:sz w:val="24"/>
          <w:szCs w:val="24"/>
        </w:rPr>
      </w:pPr>
      <w:r w:rsidRPr="002E352C">
        <w:rPr>
          <w:rFonts w:ascii="TitilliumMaps26L" w:hAnsi="TitilliumMaps26L" w:cs="Arial"/>
          <w:sz w:val="24"/>
          <w:szCs w:val="24"/>
        </w:rPr>
        <w:t>Student Name: ________________________</w:t>
      </w:r>
      <w:r w:rsidR="0056469B">
        <w:rPr>
          <w:rFonts w:ascii="TitilliumMaps26L" w:hAnsi="TitilliumMaps26L" w:cs="Arial"/>
          <w:sz w:val="24"/>
          <w:szCs w:val="24"/>
        </w:rPr>
        <w:t>____</w:t>
      </w:r>
      <w:r w:rsidRPr="002E352C">
        <w:rPr>
          <w:rFonts w:ascii="TitilliumMaps26L" w:hAnsi="TitilliumMaps26L" w:cs="Arial"/>
          <w:sz w:val="24"/>
          <w:szCs w:val="24"/>
        </w:rPr>
        <w:t>_________________________________</w:t>
      </w:r>
    </w:p>
    <w:p w:rsidR="00EE32BF" w:rsidRPr="002E352C" w:rsidRDefault="00EE32BF">
      <w:pPr>
        <w:rPr>
          <w:rFonts w:ascii="TitilliumMaps26L" w:hAnsi="TitilliumMaps26L" w:cs="Arial"/>
          <w:sz w:val="24"/>
          <w:szCs w:val="24"/>
        </w:rPr>
      </w:pPr>
    </w:p>
    <w:p w:rsidR="00EE32BF" w:rsidRPr="002E352C" w:rsidRDefault="00EE32BF">
      <w:pPr>
        <w:rPr>
          <w:rFonts w:ascii="TitilliumMaps26L" w:hAnsi="TitilliumMaps26L" w:cs="Arial"/>
          <w:sz w:val="24"/>
          <w:szCs w:val="24"/>
        </w:rPr>
      </w:pPr>
    </w:p>
    <w:p w:rsidR="00EE32BF" w:rsidRPr="002E352C" w:rsidRDefault="00EE32BF">
      <w:pPr>
        <w:rPr>
          <w:rFonts w:ascii="TitilliumMaps26L" w:hAnsi="TitilliumMaps26L" w:cs="Arial"/>
          <w:sz w:val="24"/>
          <w:szCs w:val="24"/>
        </w:rPr>
      </w:pPr>
    </w:p>
    <w:p w:rsidR="003A3CFA" w:rsidRPr="002E352C" w:rsidRDefault="00E93333">
      <w:pPr>
        <w:rPr>
          <w:rFonts w:ascii="TitilliumMaps26L" w:hAnsi="TitilliumMaps26L" w:cs="Arial"/>
          <w:sz w:val="24"/>
          <w:szCs w:val="24"/>
        </w:rPr>
      </w:pPr>
      <w:r w:rsidRPr="002E352C">
        <w:rPr>
          <w:rFonts w:ascii="TitilliumMaps26L" w:hAnsi="TitilliumMaps26L" w:cs="Arial"/>
          <w:sz w:val="24"/>
          <w:szCs w:val="24"/>
        </w:rPr>
        <w:t>Student Signature: __________</w:t>
      </w:r>
      <w:r w:rsidR="003A3CFA" w:rsidRPr="002E352C">
        <w:rPr>
          <w:rFonts w:ascii="TitilliumMaps26L" w:hAnsi="TitilliumMaps26L" w:cs="Arial"/>
          <w:sz w:val="24"/>
          <w:szCs w:val="24"/>
        </w:rPr>
        <w:t>_______________________</w:t>
      </w:r>
      <w:r w:rsidRPr="002E352C">
        <w:rPr>
          <w:rFonts w:ascii="TitilliumMaps26L" w:hAnsi="TitilliumMaps26L" w:cs="Arial"/>
          <w:sz w:val="24"/>
          <w:szCs w:val="24"/>
        </w:rPr>
        <w:t>_________</w:t>
      </w:r>
      <w:r w:rsidR="0056469B">
        <w:rPr>
          <w:rFonts w:ascii="TitilliumMaps26L" w:hAnsi="TitilliumMaps26L" w:cs="Arial"/>
          <w:sz w:val="24"/>
          <w:szCs w:val="24"/>
        </w:rPr>
        <w:t>____</w:t>
      </w:r>
      <w:r w:rsidRPr="002E352C">
        <w:rPr>
          <w:rFonts w:ascii="TitilliumMaps26L" w:hAnsi="TitilliumMaps26L" w:cs="Arial"/>
          <w:sz w:val="24"/>
          <w:szCs w:val="24"/>
        </w:rPr>
        <w:t>____________</w:t>
      </w:r>
      <w:r w:rsidR="006E0A03" w:rsidRPr="002E352C">
        <w:rPr>
          <w:rFonts w:ascii="TitilliumMaps26L" w:hAnsi="TitilliumMaps26L" w:cs="Arial"/>
          <w:sz w:val="24"/>
          <w:szCs w:val="24"/>
        </w:rPr>
        <w:t xml:space="preserve">  </w:t>
      </w:r>
    </w:p>
    <w:p w:rsidR="003A3CFA" w:rsidRPr="002E352C" w:rsidRDefault="003A3CFA">
      <w:pPr>
        <w:rPr>
          <w:rFonts w:ascii="TitilliumMaps26L" w:hAnsi="TitilliumMaps26L" w:cs="Arial"/>
          <w:sz w:val="24"/>
          <w:szCs w:val="24"/>
        </w:rPr>
      </w:pPr>
    </w:p>
    <w:p w:rsidR="003A3CFA" w:rsidRPr="002E352C" w:rsidRDefault="003A3CFA">
      <w:pPr>
        <w:rPr>
          <w:rFonts w:ascii="TitilliumMaps26L" w:hAnsi="TitilliumMaps26L" w:cs="Arial"/>
          <w:sz w:val="24"/>
          <w:szCs w:val="24"/>
        </w:rPr>
      </w:pPr>
    </w:p>
    <w:p w:rsidR="00EE32BF" w:rsidRPr="002E352C" w:rsidRDefault="00EE32BF">
      <w:pPr>
        <w:rPr>
          <w:rFonts w:ascii="TitilliumMaps26L" w:hAnsi="TitilliumMaps26L" w:cs="Arial"/>
          <w:sz w:val="24"/>
          <w:szCs w:val="24"/>
        </w:rPr>
      </w:pPr>
    </w:p>
    <w:p w:rsidR="006E0A03" w:rsidRPr="002E352C" w:rsidRDefault="002E352C">
      <w:pPr>
        <w:rPr>
          <w:rFonts w:ascii="TitilliumMaps26L" w:hAnsi="TitilliumMaps26L" w:cs="Arial"/>
          <w:sz w:val="24"/>
          <w:szCs w:val="24"/>
        </w:rPr>
      </w:pPr>
      <w:r>
        <w:rPr>
          <w:rFonts w:ascii="TitilliumMaps26L" w:hAnsi="TitilliumMaps26L" w:cs="Arial"/>
          <w:sz w:val="24"/>
          <w:szCs w:val="24"/>
        </w:rPr>
        <w:t>Student #: ________________</w:t>
      </w:r>
      <w:r>
        <w:rPr>
          <w:rFonts w:ascii="TitilliumMaps26L" w:hAnsi="TitilliumMaps26L" w:cs="Arial"/>
          <w:sz w:val="24"/>
          <w:szCs w:val="24"/>
        </w:rPr>
        <w:tab/>
      </w:r>
      <w:r>
        <w:rPr>
          <w:rFonts w:ascii="TitilliumMaps26L" w:hAnsi="TitilliumMaps26L" w:cs="Arial"/>
          <w:sz w:val="24"/>
          <w:szCs w:val="24"/>
        </w:rPr>
        <w:tab/>
      </w:r>
      <w:r>
        <w:rPr>
          <w:rFonts w:ascii="TitilliumMaps26L" w:hAnsi="TitilliumMaps26L" w:cs="Arial"/>
          <w:sz w:val="24"/>
          <w:szCs w:val="24"/>
        </w:rPr>
        <w:tab/>
      </w:r>
      <w:r>
        <w:rPr>
          <w:rFonts w:ascii="TitilliumMaps26L" w:hAnsi="TitilliumMaps26L" w:cs="Arial"/>
          <w:sz w:val="24"/>
          <w:szCs w:val="24"/>
        </w:rPr>
        <w:tab/>
      </w:r>
      <w:r>
        <w:rPr>
          <w:rFonts w:ascii="TitilliumMaps26L" w:hAnsi="TitilliumMaps26L" w:cs="Arial"/>
          <w:sz w:val="24"/>
          <w:szCs w:val="24"/>
        </w:rPr>
        <w:tab/>
      </w:r>
      <w:r w:rsidR="006E0A03" w:rsidRPr="002E352C">
        <w:rPr>
          <w:rFonts w:ascii="TitilliumMaps26L" w:hAnsi="TitilliumMaps26L" w:cs="Arial"/>
          <w:sz w:val="24"/>
          <w:szCs w:val="24"/>
        </w:rPr>
        <w:t xml:space="preserve">Date: </w:t>
      </w:r>
      <w:r>
        <w:rPr>
          <w:rFonts w:ascii="TitilliumMaps26L" w:hAnsi="TitilliumMaps26L" w:cs="Arial"/>
          <w:sz w:val="24"/>
          <w:szCs w:val="24"/>
        </w:rPr>
        <w:t>________</w:t>
      </w:r>
      <w:r w:rsidR="0056469B">
        <w:rPr>
          <w:rFonts w:ascii="TitilliumMaps26L" w:hAnsi="TitilliumMaps26L" w:cs="Arial"/>
          <w:sz w:val="24"/>
          <w:szCs w:val="24"/>
        </w:rPr>
        <w:t>____</w:t>
      </w:r>
      <w:r>
        <w:rPr>
          <w:rFonts w:ascii="TitilliumMaps26L" w:hAnsi="TitilliumMaps26L" w:cs="Arial"/>
          <w:sz w:val="24"/>
          <w:szCs w:val="24"/>
        </w:rPr>
        <w:t>___</w:t>
      </w:r>
      <w:r w:rsidR="003A3CFA" w:rsidRPr="002E352C">
        <w:rPr>
          <w:rFonts w:ascii="TitilliumMaps26L" w:hAnsi="TitilliumMaps26L" w:cs="Arial"/>
          <w:sz w:val="24"/>
          <w:szCs w:val="24"/>
        </w:rPr>
        <w:t>___</w:t>
      </w:r>
    </w:p>
    <w:p w:rsidR="006E0A03" w:rsidRPr="002E352C" w:rsidRDefault="006E0A03">
      <w:pPr>
        <w:rPr>
          <w:rFonts w:ascii="TitilliumMaps26L" w:hAnsi="TitilliumMaps26L" w:cs="Arial"/>
          <w:sz w:val="24"/>
          <w:szCs w:val="24"/>
        </w:rPr>
      </w:pPr>
    </w:p>
    <w:p w:rsidR="00E93333" w:rsidRPr="002E352C" w:rsidRDefault="00E93333">
      <w:pPr>
        <w:rPr>
          <w:rFonts w:ascii="TitilliumMaps26L" w:hAnsi="TitilliumMaps26L"/>
          <w:sz w:val="24"/>
          <w:szCs w:val="24"/>
        </w:rPr>
      </w:pPr>
    </w:p>
    <w:p w:rsidR="00E77997" w:rsidRPr="002E352C" w:rsidRDefault="00E77997">
      <w:pPr>
        <w:rPr>
          <w:rFonts w:ascii="TitilliumMaps26L" w:hAnsi="TitilliumMaps26L"/>
          <w:sz w:val="24"/>
          <w:szCs w:val="24"/>
        </w:rPr>
      </w:pPr>
    </w:p>
    <w:p w:rsidR="00E77997" w:rsidRPr="002E352C" w:rsidRDefault="00E77997">
      <w:pPr>
        <w:rPr>
          <w:rFonts w:ascii="TitilliumMaps26L" w:hAnsi="TitilliumMaps26L"/>
          <w:sz w:val="24"/>
          <w:szCs w:val="24"/>
        </w:rPr>
      </w:pPr>
    </w:p>
    <w:p w:rsidR="0056469B" w:rsidRPr="0056469B" w:rsidRDefault="00825A74" w:rsidP="0056469B">
      <w:pPr>
        <w:pStyle w:val="Header"/>
        <w:rPr>
          <w:rFonts w:ascii="TitilliumMaps26L" w:hAnsi="TitilliumMaps26L" w:cs="Times New Roman"/>
          <w:b/>
          <w:sz w:val="26"/>
          <w:szCs w:val="26"/>
        </w:rPr>
      </w:pPr>
      <w:r w:rsidRPr="0056469B">
        <w:rPr>
          <w:rFonts w:ascii="TitilliumMaps26L" w:hAnsi="TitilliumMaps26L" w:cs="Times New Roman"/>
          <w:b/>
          <w:sz w:val="26"/>
          <w:szCs w:val="26"/>
        </w:rPr>
        <w:lastRenderedPageBreak/>
        <w:t xml:space="preserve">Fostering an Environment of Academic Integrity: </w:t>
      </w:r>
    </w:p>
    <w:p w:rsidR="00825A74" w:rsidRPr="0056469B" w:rsidRDefault="00825A74" w:rsidP="0056469B">
      <w:pPr>
        <w:pStyle w:val="Header"/>
        <w:spacing w:after="160"/>
        <w:rPr>
          <w:rFonts w:ascii="TitilliumMaps26L" w:hAnsi="TitilliumMaps26L" w:cs="Times New Roman"/>
          <w:b/>
          <w:sz w:val="26"/>
          <w:szCs w:val="26"/>
        </w:rPr>
      </w:pPr>
      <w:r w:rsidRPr="0056469B">
        <w:rPr>
          <w:rFonts w:ascii="TitilliumMaps26L" w:hAnsi="TitilliumMaps26L" w:cs="Times New Roman"/>
          <w:b/>
          <w:sz w:val="26"/>
          <w:szCs w:val="26"/>
        </w:rPr>
        <w:t>Exam Administration Rules for Students</w:t>
      </w:r>
    </w:p>
    <w:p w:rsidR="00825A74" w:rsidRPr="0056469B" w:rsidRDefault="00825A74" w:rsidP="0056469B">
      <w:pPr>
        <w:pStyle w:val="Header"/>
        <w:spacing w:after="80"/>
        <w:rPr>
          <w:rFonts w:ascii="TitilliumMaps26L" w:hAnsi="TitilliumMaps26L" w:cs="Times New Roman"/>
          <w:sz w:val="24"/>
          <w:szCs w:val="24"/>
        </w:rPr>
      </w:pPr>
      <w:r w:rsidRPr="0056469B">
        <w:rPr>
          <w:rFonts w:ascii="TitilliumMaps26L" w:hAnsi="TitilliumMaps26L" w:cs="Times New Roman"/>
          <w:sz w:val="24"/>
          <w:szCs w:val="24"/>
        </w:rPr>
        <w:t>In order to foster an environment of academic integrity, students of the School of Dental Medicine are responsible for abiding by the following rules:</w:t>
      </w:r>
    </w:p>
    <w:p w:rsidR="00D2221A" w:rsidRPr="0056469B" w:rsidRDefault="00F57770"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Timeliness</w:t>
      </w:r>
      <w:r w:rsidR="004C7557" w:rsidRPr="0056469B">
        <w:rPr>
          <w:rFonts w:ascii="TitilliumMaps26L" w:hAnsi="TitilliumMaps26L" w:cs="Times New Roman"/>
          <w:b/>
          <w:sz w:val="24"/>
          <w:szCs w:val="24"/>
          <w:u w:val="single"/>
        </w:rPr>
        <w:t xml:space="preserve"> and Attendance</w:t>
      </w:r>
      <w:r w:rsidRPr="0056469B">
        <w:rPr>
          <w:rFonts w:ascii="TitilliumMaps26L" w:hAnsi="TitilliumMaps26L" w:cs="Times New Roman"/>
          <w:b/>
          <w:sz w:val="24"/>
          <w:szCs w:val="24"/>
          <w:u w:val="single"/>
        </w:rPr>
        <w:t>:</w:t>
      </w:r>
      <w:r w:rsidRPr="0056469B">
        <w:rPr>
          <w:rFonts w:ascii="TitilliumMaps26L" w:hAnsi="TitilliumMaps26L" w:cs="Times New Roman"/>
          <w:sz w:val="24"/>
          <w:szCs w:val="24"/>
        </w:rPr>
        <w:t xml:space="preserve"> You must </w:t>
      </w:r>
      <w:r w:rsidR="002E352C" w:rsidRPr="0056469B">
        <w:rPr>
          <w:rFonts w:ascii="TitilliumMaps26L" w:hAnsi="TitilliumMaps26L" w:cs="Times New Roman"/>
          <w:sz w:val="24"/>
          <w:szCs w:val="24"/>
        </w:rPr>
        <w:t xml:space="preserve">attend and </w:t>
      </w:r>
      <w:r w:rsidRPr="0056469B">
        <w:rPr>
          <w:rFonts w:ascii="TitilliumMaps26L" w:hAnsi="TitilliumMaps26L" w:cs="Times New Roman"/>
          <w:sz w:val="24"/>
          <w:szCs w:val="24"/>
        </w:rPr>
        <w:t>be on time for all exams.</w:t>
      </w:r>
      <w:r w:rsidR="004C7557" w:rsidRPr="0056469B">
        <w:rPr>
          <w:rFonts w:ascii="TitilliumMaps26L" w:hAnsi="TitilliumMaps26L" w:cs="Times New Roman"/>
          <w:sz w:val="24"/>
          <w:szCs w:val="24"/>
        </w:rPr>
        <w:t xml:space="preserve"> If an attendance sheet</w:t>
      </w:r>
      <w:r w:rsidR="00FA72FC" w:rsidRPr="0056469B">
        <w:rPr>
          <w:rFonts w:ascii="TitilliumMaps26L" w:hAnsi="TitilliumMaps26L" w:cs="Times New Roman"/>
          <w:sz w:val="24"/>
          <w:szCs w:val="24"/>
        </w:rPr>
        <w:t xml:space="preserve"> or sign-out</w:t>
      </w:r>
      <w:r w:rsidR="004C7557" w:rsidRPr="0056469B">
        <w:rPr>
          <w:rFonts w:ascii="TitilliumMaps26L" w:hAnsi="TitilliumMaps26L" w:cs="Times New Roman"/>
          <w:sz w:val="24"/>
          <w:szCs w:val="24"/>
        </w:rPr>
        <w:t xml:space="preserve"> </w:t>
      </w:r>
      <w:r w:rsidR="00FA72FC" w:rsidRPr="0056469B">
        <w:rPr>
          <w:rFonts w:ascii="TitilliumMaps26L" w:hAnsi="TitilliumMaps26L" w:cs="Times New Roman"/>
          <w:sz w:val="24"/>
          <w:szCs w:val="24"/>
        </w:rPr>
        <w:t>sheet is used, you may only sign it</w:t>
      </w:r>
      <w:r w:rsidR="004C7557" w:rsidRPr="0056469B">
        <w:rPr>
          <w:rFonts w:ascii="TitilliumMaps26L" w:hAnsi="TitilliumMaps26L" w:cs="Times New Roman"/>
          <w:sz w:val="24"/>
          <w:szCs w:val="24"/>
        </w:rPr>
        <w:t xml:space="preserve"> for yourself. </w:t>
      </w:r>
      <w:r w:rsidR="004C7557" w:rsidRPr="0056469B">
        <w:rPr>
          <w:rFonts w:ascii="TitilliumMaps26L" w:hAnsi="TitilliumMaps26L"/>
          <w:sz w:val="24"/>
          <w:szCs w:val="24"/>
        </w:rPr>
        <w:t>Signing in a fellow student is considered academic dishonesty. If you miss an exam,</w:t>
      </w:r>
      <w:r w:rsidR="00D2221A" w:rsidRPr="0056469B">
        <w:rPr>
          <w:rFonts w:ascii="TitilliumMaps26L" w:hAnsi="TitilliumMaps26L"/>
          <w:sz w:val="24"/>
          <w:szCs w:val="24"/>
        </w:rPr>
        <w:t xml:space="preserve"> you may be granted a make-up exam at the course director’s discretion or you may receive a 0 for that exam. Y</w:t>
      </w:r>
      <w:r w:rsidR="004C7557" w:rsidRPr="0056469B">
        <w:rPr>
          <w:rFonts w:ascii="TitilliumMaps26L" w:hAnsi="TitilliumMaps26L"/>
          <w:sz w:val="24"/>
          <w:szCs w:val="24"/>
        </w:rPr>
        <w:t xml:space="preserve">ou must notify the school </w:t>
      </w:r>
      <w:r w:rsidR="002E352C" w:rsidRPr="0056469B">
        <w:rPr>
          <w:rFonts w:ascii="TitilliumMaps26L" w:hAnsi="TitilliumMaps26L"/>
          <w:sz w:val="24"/>
          <w:szCs w:val="24"/>
        </w:rPr>
        <w:t xml:space="preserve">of your absence </w:t>
      </w:r>
      <w:r w:rsidR="004C7557" w:rsidRPr="0056469B">
        <w:rPr>
          <w:rFonts w:ascii="TitilliumMaps26L" w:hAnsi="TitilliumMaps26L"/>
          <w:sz w:val="24"/>
          <w:szCs w:val="24"/>
        </w:rPr>
        <w:t xml:space="preserve">by sending an email to both </w:t>
      </w:r>
      <w:hyperlink r:id="rId8" w:history="1">
        <w:r w:rsidR="004C7557" w:rsidRPr="0056469B">
          <w:rPr>
            <w:rStyle w:val="Hyperlink"/>
            <w:rFonts w:ascii="TitilliumMaps26L" w:hAnsi="TitilliumMaps26L"/>
            <w:sz w:val="24"/>
            <w:szCs w:val="24"/>
          </w:rPr>
          <w:t>dmdattendance@case.edu</w:t>
        </w:r>
      </w:hyperlink>
      <w:r w:rsidR="004C7557" w:rsidRPr="0056469B">
        <w:rPr>
          <w:rFonts w:ascii="TitilliumMaps26L" w:hAnsi="TitilliumMaps26L"/>
          <w:sz w:val="24"/>
          <w:szCs w:val="24"/>
        </w:rPr>
        <w:t xml:space="preserve"> and the cour</w:t>
      </w:r>
      <w:r w:rsidR="00D2221A" w:rsidRPr="0056469B">
        <w:rPr>
          <w:rFonts w:ascii="TitilliumMaps26L" w:hAnsi="TitilliumMaps26L"/>
          <w:sz w:val="24"/>
          <w:szCs w:val="24"/>
        </w:rPr>
        <w:t>se director. The faculty must contact the Academic Affairs Office to approve a make-up exam.</w:t>
      </w:r>
    </w:p>
    <w:p w:rsidR="00F57770"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Seating Charts</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A seating chart will be provided. You must sit in your assigned seat or risk automatic failure of the exam.</w:t>
      </w:r>
    </w:p>
    <w:p w:rsidR="00FA72FC" w:rsidRPr="0056469B" w:rsidRDefault="00FA72FC"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Academic Integrity Certification</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You must review and agree to the academic integrity certification statement at the beginning of each exam.</w:t>
      </w:r>
    </w:p>
    <w:p w:rsidR="00FA72FC" w:rsidRPr="0056469B" w:rsidRDefault="00FA72FC"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Dividers</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You must use dividers at your desk when available.</w:t>
      </w:r>
    </w:p>
    <w:p w:rsidR="00F57770"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Electronic Devices</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No cell phones, </w:t>
      </w:r>
      <w:r w:rsidR="00296168" w:rsidRPr="0056469B">
        <w:rPr>
          <w:rFonts w:ascii="TitilliumMaps26L" w:hAnsi="TitilliumMaps26L" w:cs="Times New Roman"/>
          <w:sz w:val="24"/>
          <w:szCs w:val="24"/>
        </w:rPr>
        <w:t xml:space="preserve">smart </w:t>
      </w:r>
      <w:r w:rsidRPr="0056469B">
        <w:rPr>
          <w:rFonts w:ascii="TitilliumMaps26L" w:hAnsi="TitilliumMaps26L" w:cs="Times New Roman"/>
          <w:sz w:val="24"/>
          <w:szCs w:val="24"/>
        </w:rPr>
        <w:t>watches</w:t>
      </w:r>
      <w:r w:rsidR="002E352C" w:rsidRPr="0056469B">
        <w:rPr>
          <w:rFonts w:ascii="TitilliumMaps26L" w:hAnsi="TitilliumMaps26L" w:cs="Times New Roman"/>
          <w:sz w:val="24"/>
          <w:szCs w:val="24"/>
        </w:rPr>
        <w:t>,</w:t>
      </w:r>
      <w:r w:rsidRPr="0056469B">
        <w:rPr>
          <w:rFonts w:ascii="TitilliumMaps26L" w:hAnsi="TitilliumMaps26L" w:cs="Times New Roman"/>
          <w:sz w:val="24"/>
          <w:szCs w:val="24"/>
        </w:rPr>
        <w:t xml:space="preserve"> or other electronic devices of any kind are permitted on your person or at yo</w:t>
      </w:r>
      <w:r w:rsidR="00296168" w:rsidRPr="0056469B">
        <w:rPr>
          <w:rFonts w:ascii="TitilliumMaps26L" w:hAnsi="TitilliumMaps26L" w:cs="Times New Roman"/>
          <w:sz w:val="24"/>
          <w:szCs w:val="24"/>
        </w:rPr>
        <w:t>ur desk. D</w:t>
      </w:r>
      <w:r w:rsidRPr="0056469B">
        <w:rPr>
          <w:rFonts w:ascii="TitilliumMaps26L" w:hAnsi="TitilliumMaps26L" w:cs="Times New Roman"/>
          <w:sz w:val="24"/>
          <w:szCs w:val="24"/>
        </w:rPr>
        <w:t>evices must be left in lockers or turned off and left in your bag at the side of the room. If you are expecting an urgent call, please leave your phone with the proctor. If you are found to have a cell phone on your person or at your desk in the testing area, you will automatically fail the exam.</w:t>
      </w:r>
    </w:p>
    <w:p w:rsidR="00F57770"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Permitted Items</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w:t>
      </w:r>
      <w:r w:rsidR="00296168" w:rsidRPr="0056469B">
        <w:rPr>
          <w:rFonts w:ascii="TitilliumMaps26L" w:hAnsi="TitilliumMaps26L" w:cs="Times New Roman"/>
          <w:sz w:val="24"/>
          <w:szCs w:val="24"/>
        </w:rPr>
        <w:t>Aside from your computer, y</w:t>
      </w:r>
      <w:r w:rsidRPr="0056469B">
        <w:rPr>
          <w:rFonts w:ascii="TitilliumMaps26L" w:hAnsi="TitilliumMaps26L" w:cs="Times New Roman"/>
          <w:sz w:val="24"/>
          <w:szCs w:val="24"/>
        </w:rPr>
        <w:t xml:space="preserve">ou may not </w:t>
      </w:r>
      <w:r w:rsidR="00296168" w:rsidRPr="0056469B">
        <w:rPr>
          <w:rFonts w:ascii="TitilliumMaps26L" w:hAnsi="TitilliumMaps26L" w:cs="Times New Roman"/>
          <w:sz w:val="24"/>
          <w:szCs w:val="24"/>
        </w:rPr>
        <w:t>have</w:t>
      </w:r>
      <w:r w:rsidRPr="0056469B">
        <w:rPr>
          <w:rFonts w:ascii="TitilliumMaps26L" w:hAnsi="TitilliumMaps26L" w:cs="Times New Roman"/>
          <w:sz w:val="24"/>
          <w:szCs w:val="24"/>
        </w:rPr>
        <w:t xml:space="preserve"> additional items (extra clothing, papers, etc.) on your desk during an exam. No food or drink is permitted at your desk, except at the discretion of the proctor. Hats are not permitted to be worn during exams (except religious attire). Ear plugs must be approved by the proctor.</w:t>
      </w:r>
      <w:r w:rsidR="00296168" w:rsidRPr="0056469B">
        <w:rPr>
          <w:rFonts w:ascii="TitilliumMaps26L" w:hAnsi="TitilliumMaps26L" w:cs="Times New Roman"/>
          <w:sz w:val="24"/>
          <w:szCs w:val="24"/>
        </w:rPr>
        <w:t xml:space="preserve"> Scratch paper is at the discretion of the instructor. If taken, it must be returned before leaving the exam.</w:t>
      </w:r>
    </w:p>
    <w:p w:rsidR="00F57770"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Testing in Preclinical Areas</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When testing in preclinical areas (e.g., the Simulation Clinic), all items on the top of the desk must be removed prior to the exam. In addition, the top drawer must be emptied prior to e</w:t>
      </w:r>
      <w:bookmarkStart w:id="0" w:name="_GoBack"/>
      <w:bookmarkEnd w:id="0"/>
      <w:r w:rsidRPr="0056469B">
        <w:rPr>
          <w:rFonts w:ascii="TitilliumMaps26L" w:hAnsi="TitilliumMaps26L" w:cs="Times New Roman"/>
          <w:sz w:val="24"/>
          <w:szCs w:val="24"/>
        </w:rPr>
        <w:t>xam week and other drawers locked.</w:t>
      </w:r>
    </w:p>
    <w:p w:rsidR="00F57770"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 xml:space="preserve">Questions </w:t>
      </w:r>
      <w:proofErr w:type="gramStart"/>
      <w:r w:rsidRPr="0056469B">
        <w:rPr>
          <w:rFonts w:ascii="TitilliumMaps26L" w:hAnsi="TitilliumMaps26L" w:cs="Times New Roman"/>
          <w:b/>
          <w:sz w:val="24"/>
          <w:szCs w:val="24"/>
          <w:u w:val="single"/>
        </w:rPr>
        <w:t>During</w:t>
      </w:r>
      <w:proofErr w:type="gramEnd"/>
      <w:r w:rsidRPr="0056469B">
        <w:rPr>
          <w:rFonts w:ascii="TitilliumMaps26L" w:hAnsi="TitilliumMaps26L" w:cs="Times New Roman"/>
          <w:b/>
          <w:sz w:val="24"/>
          <w:szCs w:val="24"/>
          <w:u w:val="single"/>
        </w:rPr>
        <w:t xml:space="preserve"> Examinations</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w:t>
      </w:r>
      <w:r w:rsidR="00296168" w:rsidRPr="0056469B">
        <w:rPr>
          <w:rFonts w:ascii="TitilliumMaps26L" w:hAnsi="TitilliumMaps26L" w:cs="Times New Roman"/>
          <w:sz w:val="24"/>
          <w:szCs w:val="24"/>
        </w:rPr>
        <w:t xml:space="preserve">Questions during an exam should be </w:t>
      </w:r>
      <w:r w:rsidR="0056469B">
        <w:rPr>
          <w:rFonts w:ascii="TitilliumMaps26L" w:hAnsi="TitilliumMaps26L" w:cs="Times New Roman"/>
          <w:sz w:val="24"/>
          <w:szCs w:val="24"/>
        </w:rPr>
        <w:t>entered</w:t>
      </w:r>
      <w:r w:rsidR="00296168" w:rsidRPr="0056469B">
        <w:rPr>
          <w:rFonts w:ascii="TitilliumMaps26L" w:hAnsi="TitilliumMaps26L" w:cs="Times New Roman"/>
          <w:sz w:val="24"/>
          <w:szCs w:val="24"/>
        </w:rPr>
        <w:t xml:space="preserve"> into the notes/question feedback area of </w:t>
      </w:r>
      <w:proofErr w:type="spellStart"/>
      <w:r w:rsidR="00296168" w:rsidRPr="0056469B">
        <w:rPr>
          <w:rFonts w:ascii="TitilliumMaps26L" w:hAnsi="TitilliumMaps26L" w:cs="Times New Roman"/>
          <w:sz w:val="24"/>
          <w:szCs w:val="24"/>
        </w:rPr>
        <w:t>Examplify</w:t>
      </w:r>
      <w:proofErr w:type="spellEnd"/>
      <w:r w:rsidR="00296168" w:rsidRPr="0056469B">
        <w:rPr>
          <w:rFonts w:ascii="TitilliumMaps26L" w:hAnsi="TitilliumMaps26L" w:cs="Times New Roman"/>
          <w:sz w:val="24"/>
          <w:szCs w:val="24"/>
        </w:rPr>
        <w:t xml:space="preserve"> for instructor review after the exam.</w:t>
      </w:r>
      <w:r w:rsidRPr="0056469B">
        <w:rPr>
          <w:rFonts w:ascii="TitilliumMaps26L" w:hAnsi="TitilliumMaps26L" w:cs="Times New Roman"/>
          <w:sz w:val="24"/>
          <w:szCs w:val="24"/>
        </w:rPr>
        <w:t xml:space="preserve"> </w:t>
      </w:r>
    </w:p>
    <w:p w:rsidR="00F57770"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cs="Times New Roman"/>
          <w:b/>
          <w:sz w:val="24"/>
          <w:szCs w:val="24"/>
          <w:u w:val="single"/>
        </w:rPr>
        <w:t>Exiting the Exam</w:t>
      </w:r>
      <w:r w:rsidRPr="0056469B">
        <w:rPr>
          <w:rFonts w:ascii="TitilliumMaps26L" w:hAnsi="TitilliumMaps26L" w:cs="Times New Roman"/>
          <w:b/>
          <w:sz w:val="24"/>
          <w:szCs w:val="24"/>
        </w:rPr>
        <w:t>:</w:t>
      </w:r>
      <w:r w:rsidRPr="0056469B">
        <w:rPr>
          <w:rFonts w:ascii="TitilliumMaps26L" w:hAnsi="TitilliumMaps26L" w:cs="Times New Roman"/>
          <w:sz w:val="24"/>
          <w:szCs w:val="24"/>
        </w:rPr>
        <w:t xml:space="preserve"> When you exit the exam, you </w:t>
      </w:r>
      <w:r w:rsidR="00296168" w:rsidRPr="0056469B">
        <w:rPr>
          <w:rFonts w:ascii="TitilliumMaps26L" w:hAnsi="TitilliumMaps26L" w:cs="Times New Roman"/>
          <w:sz w:val="24"/>
          <w:szCs w:val="24"/>
        </w:rPr>
        <w:t>must show your upload screen to the proctor and quietly</w:t>
      </w:r>
      <w:r w:rsidRPr="0056469B">
        <w:rPr>
          <w:rFonts w:ascii="TitilliumMaps26L" w:hAnsi="TitilliumMaps26L" w:cs="Times New Roman"/>
          <w:sz w:val="24"/>
          <w:szCs w:val="24"/>
        </w:rPr>
        <w:t xml:space="preserve"> leave the area. Discussions outside the door of the exam room are prohibited.</w:t>
      </w:r>
      <w:r w:rsidR="00422386" w:rsidRPr="0056469B">
        <w:rPr>
          <w:rFonts w:ascii="TitilliumMaps26L" w:hAnsi="TitilliumMaps26L" w:cs="Times New Roman"/>
          <w:sz w:val="24"/>
          <w:szCs w:val="24"/>
        </w:rPr>
        <w:t xml:space="preserve"> If you leave </w:t>
      </w:r>
      <w:r w:rsidR="00296168" w:rsidRPr="0056469B">
        <w:rPr>
          <w:rFonts w:ascii="TitilliumMaps26L" w:hAnsi="TitilliumMaps26L" w:cs="Times New Roman"/>
          <w:sz w:val="24"/>
          <w:szCs w:val="24"/>
        </w:rPr>
        <w:t xml:space="preserve">the room </w:t>
      </w:r>
      <w:r w:rsidR="00422386" w:rsidRPr="0056469B">
        <w:rPr>
          <w:rFonts w:ascii="TitilliumMaps26L" w:hAnsi="TitilliumMaps26L" w:cs="Times New Roman"/>
          <w:sz w:val="24"/>
          <w:szCs w:val="24"/>
        </w:rPr>
        <w:t>during an e</w:t>
      </w:r>
      <w:r w:rsidR="0056469B">
        <w:rPr>
          <w:rFonts w:ascii="TitilliumMaps26L" w:hAnsi="TitilliumMaps26L" w:cs="Times New Roman"/>
          <w:sz w:val="24"/>
          <w:szCs w:val="24"/>
        </w:rPr>
        <w:t xml:space="preserve">xam, you must sign out and sign </w:t>
      </w:r>
      <w:r w:rsidR="00422386" w:rsidRPr="0056469B">
        <w:rPr>
          <w:rFonts w:ascii="TitilliumMaps26L" w:hAnsi="TitilliumMaps26L" w:cs="Times New Roman"/>
          <w:sz w:val="24"/>
          <w:szCs w:val="24"/>
        </w:rPr>
        <w:t>back in upon your return.</w:t>
      </w:r>
    </w:p>
    <w:p w:rsidR="00E77997" w:rsidRPr="0056469B" w:rsidRDefault="00825A74" w:rsidP="0056469B">
      <w:pPr>
        <w:pStyle w:val="Header"/>
        <w:numPr>
          <w:ilvl w:val="0"/>
          <w:numId w:val="1"/>
        </w:numPr>
        <w:spacing w:after="80"/>
        <w:ind w:left="360"/>
        <w:rPr>
          <w:rFonts w:ascii="TitilliumMaps26L" w:hAnsi="TitilliumMaps26L" w:cs="Times New Roman"/>
          <w:sz w:val="24"/>
          <w:szCs w:val="24"/>
        </w:rPr>
      </w:pPr>
      <w:r w:rsidRPr="0056469B">
        <w:rPr>
          <w:rFonts w:ascii="TitilliumMaps26L" w:hAnsi="TitilliumMaps26L"/>
          <w:b/>
          <w:sz w:val="24"/>
          <w:szCs w:val="24"/>
          <w:u w:val="single"/>
        </w:rPr>
        <w:t>Review of exams</w:t>
      </w:r>
      <w:r w:rsidRPr="0056469B">
        <w:rPr>
          <w:rFonts w:ascii="TitilliumMaps26L" w:hAnsi="TitilliumMaps26L"/>
          <w:b/>
          <w:sz w:val="24"/>
          <w:szCs w:val="24"/>
        </w:rPr>
        <w:t>:</w:t>
      </w:r>
      <w:r w:rsidRPr="0056469B">
        <w:rPr>
          <w:rFonts w:ascii="TitilliumMaps26L" w:hAnsi="TitilliumMaps26L"/>
          <w:sz w:val="24"/>
          <w:szCs w:val="24"/>
        </w:rPr>
        <w:t xml:space="preserve"> </w:t>
      </w:r>
      <w:r w:rsidR="00296168" w:rsidRPr="0056469B">
        <w:rPr>
          <w:rFonts w:ascii="TitilliumMaps26L" w:hAnsi="TitilliumMaps26L"/>
          <w:sz w:val="24"/>
          <w:szCs w:val="24"/>
        </w:rPr>
        <w:t>Your category report and score will be distributed through the portal as soon as scores are finalized b</w:t>
      </w:r>
      <w:r w:rsidR="0056469B">
        <w:rPr>
          <w:rFonts w:ascii="TitilliumMaps26L" w:hAnsi="TitilliumMaps26L"/>
          <w:sz w:val="24"/>
          <w:szCs w:val="24"/>
        </w:rPr>
        <w:t xml:space="preserve">y the instructor. Review of </w:t>
      </w:r>
      <w:r w:rsidR="00296168" w:rsidRPr="0056469B">
        <w:rPr>
          <w:rFonts w:ascii="TitilliumMaps26L" w:hAnsi="TitilliumMaps26L"/>
          <w:sz w:val="24"/>
          <w:szCs w:val="24"/>
        </w:rPr>
        <w:t>exam</w:t>
      </w:r>
      <w:r w:rsidR="0056469B">
        <w:rPr>
          <w:rFonts w:ascii="TitilliumMaps26L" w:hAnsi="TitilliumMaps26L"/>
          <w:sz w:val="24"/>
          <w:szCs w:val="24"/>
        </w:rPr>
        <w:t xml:space="preserve"> contents</w:t>
      </w:r>
      <w:r w:rsidR="00296168" w:rsidRPr="0056469B">
        <w:rPr>
          <w:rFonts w:ascii="TitilliumMaps26L" w:hAnsi="TitilliumMaps26L"/>
          <w:sz w:val="24"/>
          <w:szCs w:val="24"/>
        </w:rPr>
        <w:t xml:space="preserve"> is at the instructor’s discretion</w:t>
      </w:r>
      <w:r w:rsidR="0056469B">
        <w:rPr>
          <w:rFonts w:ascii="TitilliumMaps26L" w:hAnsi="TitilliumMaps26L"/>
          <w:sz w:val="24"/>
          <w:szCs w:val="24"/>
        </w:rPr>
        <w:t>.</w:t>
      </w:r>
    </w:p>
    <w:sectPr w:rsidR="00E77997" w:rsidRPr="005646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10" w:rsidRDefault="002D6710" w:rsidP="00E77997">
      <w:r>
        <w:separator/>
      </w:r>
    </w:p>
  </w:endnote>
  <w:endnote w:type="continuationSeparator" w:id="0">
    <w:p w:rsidR="002D6710" w:rsidRDefault="002D6710" w:rsidP="00E7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Maps26L 250 wt">
    <w:altName w:val="Calibri"/>
    <w:charset w:val="00"/>
    <w:family w:val="auto"/>
    <w:pitch w:val="variable"/>
    <w:sig w:usb0="A00000EF" w:usb1="0000204B" w:usb2="00000000" w:usb3="00000000" w:csb0="00000193" w:csb1="00000000"/>
  </w:font>
  <w:font w:name="TitilliumMaps26L">
    <w:panose1 w:val="00000000000000000000"/>
    <w:charset w:val="00"/>
    <w:family w:val="modern"/>
    <w:notTrueType/>
    <w:pitch w:val="variable"/>
    <w:sig w:usb0="A00000EF" w:usb1="0000204B" w:usb2="00000000" w:usb3="00000000" w:csb0="000001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2C" w:rsidRDefault="002E352C" w:rsidP="002E352C">
    <w:pPr>
      <w:rPr>
        <w:rFonts w:ascii="TitilliumMaps26L" w:hAnsi="TitilliumMaps26L"/>
        <w:b/>
      </w:rPr>
    </w:pPr>
  </w:p>
  <w:p w:rsidR="002E352C" w:rsidRDefault="002E352C" w:rsidP="002E352C">
    <w:r>
      <w:rPr>
        <w:noProof/>
      </w:rPr>
      <w:drawing>
        <wp:inline distT="0" distB="0" distL="0" distR="0" wp14:anchorId="609509A1" wp14:editId="509F4D43">
          <wp:extent cx="2571750" cy="6429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SDM-Logo-blue.png"/>
                  <pic:cNvPicPr/>
                </pic:nvPicPr>
                <pic:blipFill>
                  <a:blip r:embed="rId1">
                    <a:extLst>
                      <a:ext uri="{28A0092B-C50C-407E-A947-70E740481C1C}">
                        <a14:useLocalDpi xmlns:a14="http://schemas.microsoft.com/office/drawing/2010/main" val="0"/>
                      </a:ext>
                    </a:extLst>
                  </a:blip>
                  <a:stretch>
                    <a:fillRect/>
                  </a:stretch>
                </pic:blipFill>
                <pic:spPr>
                  <a:xfrm>
                    <a:off x="0" y="0"/>
                    <a:ext cx="2579293" cy="644824"/>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0A63F323" wp14:editId="3773397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E352C" w:rsidRPr="00030DCF" w:rsidRDefault="002E352C" w:rsidP="002E352C">
                          <w:pPr>
                            <w:pStyle w:val="Footer"/>
                            <w:jc w:val="right"/>
                            <w:rPr>
                              <w:rFonts w:ascii="TitilliumMaps26L" w:hAnsi="TitilliumMaps26L"/>
                              <w:b/>
                              <w:color w:val="000000" w:themeColor="text1"/>
                              <w:sz w:val="24"/>
                              <w:szCs w:val="40"/>
                            </w:rPr>
                          </w:pPr>
                          <w:r w:rsidRPr="00030DCF">
                            <w:rPr>
                              <w:rFonts w:ascii="TitilliumMaps26L" w:hAnsi="TitilliumMaps26L"/>
                              <w:b/>
                              <w:color w:val="000000" w:themeColor="text1"/>
                              <w:sz w:val="24"/>
                              <w:szCs w:val="40"/>
                            </w:rPr>
                            <w:fldChar w:fldCharType="begin"/>
                          </w:r>
                          <w:r w:rsidRPr="00030DCF">
                            <w:rPr>
                              <w:rFonts w:ascii="TitilliumMaps26L" w:hAnsi="TitilliumMaps26L"/>
                              <w:b/>
                              <w:color w:val="000000" w:themeColor="text1"/>
                              <w:sz w:val="24"/>
                              <w:szCs w:val="40"/>
                            </w:rPr>
                            <w:instrText xml:space="preserve"> PAGE  \* Arabic  \* MERGEFORMAT </w:instrText>
                          </w:r>
                          <w:r w:rsidRPr="00030DCF">
                            <w:rPr>
                              <w:rFonts w:ascii="TitilliumMaps26L" w:hAnsi="TitilliumMaps26L"/>
                              <w:b/>
                              <w:color w:val="000000" w:themeColor="text1"/>
                              <w:sz w:val="24"/>
                              <w:szCs w:val="40"/>
                            </w:rPr>
                            <w:fldChar w:fldCharType="separate"/>
                          </w:r>
                          <w:r w:rsidR="0056469B">
                            <w:rPr>
                              <w:rFonts w:ascii="TitilliumMaps26L" w:hAnsi="TitilliumMaps26L"/>
                              <w:b/>
                              <w:noProof/>
                              <w:color w:val="000000" w:themeColor="text1"/>
                              <w:sz w:val="24"/>
                              <w:szCs w:val="40"/>
                            </w:rPr>
                            <w:t>2</w:t>
                          </w:r>
                          <w:r w:rsidRPr="00030DCF">
                            <w:rPr>
                              <w:rFonts w:ascii="TitilliumMaps26L" w:hAnsi="TitilliumMaps26L"/>
                              <w:b/>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E352C" w:rsidRPr="00030DCF" w:rsidRDefault="002E352C" w:rsidP="002E352C">
                    <w:pPr>
                      <w:pStyle w:val="Footer"/>
                      <w:jc w:val="right"/>
                      <w:rPr>
                        <w:rFonts w:ascii="TitilliumMaps26L" w:hAnsi="TitilliumMaps26L"/>
                        <w:b/>
                        <w:color w:val="000000" w:themeColor="text1"/>
                        <w:sz w:val="24"/>
                        <w:szCs w:val="40"/>
                      </w:rPr>
                    </w:pPr>
                    <w:r w:rsidRPr="00030DCF">
                      <w:rPr>
                        <w:rFonts w:ascii="TitilliumMaps26L" w:hAnsi="TitilliumMaps26L"/>
                        <w:b/>
                        <w:color w:val="000000" w:themeColor="text1"/>
                        <w:sz w:val="24"/>
                        <w:szCs w:val="40"/>
                      </w:rPr>
                      <w:fldChar w:fldCharType="begin"/>
                    </w:r>
                    <w:r w:rsidRPr="00030DCF">
                      <w:rPr>
                        <w:rFonts w:ascii="TitilliumMaps26L" w:hAnsi="TitilliumMaps26L"/>
                        <w:b/>
                        <w:color w:val="000000" w:themeColor="text1"/>
                        <w:sz w:val="24"/>
                        <w:szCs w:val="40"/>
                      </w:rPr>
                      <w:instrText xml:space="preserve"> PAGE  \* Arabic  \* MERGEFORMAT </w:instrText>
                    </w:r>
                    <w:r w:rsidRPr="00030DCF">
                      <w:rPr>
                        <w:rFonts w:ascii="TitilliumMaps26L" w:hAnsi="TitilliumMaps26L"/>
                        <w:b/>
                        <w:color w:val="000000" w:themeColor="text1"/>
                        <w:sz w:val="24"/>
                        <w:szCs w:val="40"/>
                      </w:rPr>
                      <w:fldChar w:fldCharType="separate"/>
                    </w:r>
                    <w:r w:rsidR="0056469B">
                      <w:rPr>
                        <w:rFonts w:ascii="TitilliumMaps26L" w:hAnsi="TitilliumMaps26L"/>
                        <w:b/>
                        <w:noProof/>
                        <w:color w:val="000000" w:themeColor="text1"/>
                        <w:sz w:val="24"/>
                        <w:szCs w:val="40"/>
                      </w:rPr>
                      <w:t>2</w:t>
                    </w:r>
                    <w:r w:rsidRPr="00030DCF">
                      <w:rPr>
                        <w:rFonts w:ascii="TitilliumMaps26L" w:hAnsi="TitilliumMaps26L"/>
                        <w:b/>
                        <w:color w:val="000000" w:themeColor="text1"/>
                        <w:sz w:val="24"/>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A715DF4" wp14:editId="4A2E48E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10" w:rsidRDefault="002D6710" w:rsidP="00E77997">
      <w:r>
        <w:separator/>
      </w:r>
    </w:p>
  </w:footnote>
  <w:footnote w:type="continuationSeparator" w:id="0">
    <w:p w:rsidR="002D6710" w:rsidRDefault="002D6710" w:rsidP="00E77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97" w:rsidRPr="00D2221A" w:rsidRDefault="0056469B">
    <w:pPr>
      <w:pStyle w:val="Header"/>
      <w:rPr>
        <w:rFonts w:ascii="Arial" w:hAnsi="Arial" w:cs="Arial"/>
        <w:sz w:val="16"/>
      </w:rPr>
    </w:pPr>
    <w:r>
      <w:rPr>
        <w:rFonts w:ascii="Arial" w:hAnsi="Arial" w:cs="Arial"/>
        <w:sz w:val="16"/>
      </w:rPr>
      <w:t>07/25</w:t>
    </w:r>
    <w:r w:rsidR="00296168">
      <w:rPr>
        <w:rFonts w:ascii="Arial" w:hAnsi="Arial" w:cs="Arial"/>
        <w:sz w:val="16"/>
      </w:rPr>
      <w:t>/19</w:t>
    </w:r>
    <w:r w:rsidR="00E77997" w:rsidRPr="00E77997">
      <w:rPr>
        <w:rFonts w:ascii="Arial" w:hAnsi="Arial" w:cs="Arial"/>
        <w:sz w:val="16"/>
      </w:rPr>
      <w:t xml:space="preserve"> </w:t>
    </w:r>
    <w:r w:rsidR="00551880">
      <w:rPr>
        <w:rFonts w:ascii="Arial" w:hAnsi="Arial" w:cs="Arial"/>
        <w:sz w:val="16"/>
      </w:rPr>
      <w:tab/>
    </w:r>
    <w:r w:rsidR="005518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6478"/>
    <w:multiLevelType w:val="hybridMultilevel"/>
    <w:tmpl w:val="843EB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3"/>
    <w:rsid w:val="00296168"/>
    <w:rsid w:val="002D6710"/>
    <w:rsid w:val="002E352C"/>
    <w:rsid w:val="003A3CFA"/>
    <w:rsid w:val="00422386"/>
    <w:rsid w:val="004C7557"/>
    <w:rsid w:val="00551880"/>
    <w:rsid w:val="0056469B"/>
    <w:rsid w:val="00580BF3"/>
    <w:rsid w:val="005A7F1A"/>
    <w:rsid w:val="00651DFE"/>
    <w:rsid w:val="006E0A03"/>
    <w:rsid w:val="007C1397"/>
    <w:rsid w:val="007E0C8A"/>
    <w:rsid w:val="00825A74"/>
    <w:rsid w:val="00916D5A"/>
    <w:rsid w:val="00A45F06"/>
    <w:rsid w:val="00AC54D8"/>
    <w:rsid w:val="00D2221A"/>
    <w:rsid w:val="00DC0AC3"/>
    <w:rsid w:val="00E77997"/>
    <w:rsid w:val="00E93333"/>
    <w:rsid w:val="00EE32BF"/>
    <w:rsid w:val="00F57770"/>
    <w:rsid w:val="00FA2BDA"/>
    <w:rsid w:val="00F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33"/>
    <w:pPr>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97"/>
    <w:pPr>
      <w:tabs>
        <w:tab w:val="center" w:pos="4680"/>
        <w:tab w:val="right" w:pos="9360"/>
      </w:tabs>
      <w:autoSpaceDE/>
      <w:autoSpaceDN/>
      <w:adjustRightInd/>
    </w:pPr>
    <w:rPr>
      <w:rFonts w:asciiTheme="minorHAnsi" w:hAnsiTheme="minorHAnsi"/>
      <w:sz w:val="22"/>
      <w:szCs w:val="22"/>
    </w:rPr>
  </w:style>
  <w:style w:type="character" w:customStyle="1" w:styleId="HeaderChar">
    <w:name w:val="Header Char"/>
    <w:basedOn w:val="DefaultParagraphFont"/>
    <w:link w:val="Header"/>
    <w:uiPriority w:val="99"/>
    <w:rsid w:val="00E77997"/>
  </w:style>
  <w:style w:type="paragraph" w:styleId="Footer">
    <w:name w:val="footer"/>
    <w:basedOn w:val="Normal"/>
    <w:link w:val="FooterChar"/>
    <w:uiPriority w:val="99"/>
    <w:unhideWhenUsed/>
    <w:rsid w:val="00E77997"/>
    <w:pPr>
      <w:tabs>
        <w:tab w:val="center" w:pos="4680"/>
        <w:tab w:val="right" w:pos="9360"/>
      </w:tabs>
    </w:pPr>
  </w:style>
  <w:style w:type="character" w:customStyle="1" w:styleId="FooterChar">
    <w:name w:val="Footer Char"/>
    <w:basedOn w:val="DefaultParagraphFont"/>
    <w:link w:val="Footer"/>
    <w:uiPriority w:val="99"/>
    <w:rsid w:val="00E77997"/>
    <w:rPr>
      <w:rFonts w:ascii="Courier" w:hAnsi="Courier"/>
      <w:sz w:val="20"/>
      <w:szCs w:val="20"/>
    </w:rPr>
  </w:style>
  <w:style w:type="paragraph" w:styleId="BalloonText">
    <w:name w:val="Balloon Text"/>
    <w:basedOn w:val="Normal"/>
    <w:link w:val="BalloonTextChar"/>
    <w:uiPriority w:val="99"/>
    <w:semiHidden/>
    <w:unhideWhenUsed/>
    <w:rsid w:val="00E77997"/>
    <w:rPr>
      <w:rFonts w:ascii="Tahoma" w:hAnsi="Tahoma" w:cs="Tahoma"/>
      <w:sz w:val="16"/>
      <w:szCs w:val="16"/>
    </w:rPr>
  </w:style>
  <w:style w:type="character" w:customStyle="1" w:styleId="BalloonTextChar">
    <w:name w:val="Balloon Text Char"/>
    <w:basedOn w:val="DefaultParagraphFont"/>
    <w:link w:val="BalloonText"/>
    <w:uiPriority w:val="99"/>
    <w:semiHidden/>
    <w:rsid w:val="00E77997"/>
    <w:rPr>
      <w:rFonts w:ascii="Tahoma" w:hAnsi="Tahoma" w:cs="Tahoma"/>
      <w:sz w:val="16"/>
      <w:szCs w:val="16"/>
    </w:rPr>
  </w:style>
  <w:style w:type="character" w:styleId="Hyperlink">
    <w:name w:val="Hyperlink"/>
    <w:basedOn w:val="DefaultParagraphFont"/>
    <w:uiPriority w:val="99"/>
    <w:unhideWhenUsed/>
    <w:rsid w:val="004C7557"/>
    <w:rPr>
      <w:color w:val="0000FF" w:themeColor="hyperlink"/>
      <w:u w:val="single"/>
    </w:rPr>
  </w:style>
  <w:style w:type="paragraph" w:styleId="NormalWeb">
    <w:name w:val="Normal (Web)"/>
    <w:basedOn w:val="Normal"/>
    <w:uiPriority w:val="99"/>
    <w:semiHidden/>
    <w:unhideWhenUsed/>
    <w:rsid w:val="00D2221A"/>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2221A"/>
    <w:pPr>
      <w:ind w:left="720"/>
      <w:contextualSpacing/>
    </w:pPr>
  </w:style>
  <w:style w:type="paragraph" w:customStyle="1" w:styleId="subhead-blue">
    <w:name w:val="*subhead - blue"/>
    <w:basedOn w:val="Normal"/>
    <w:next w:val="Normal"/>
    <w:qFormat/>
    <w:rsid w:val="00D2221A"/>
    <w:pPr>
      <w:autoSpaceDE/>
      <w:autoSpaceDN/>
      <w:adjustRightInd/>
      <w:spacing w:after="180" w:line="300" w:lineRule="exact"/>
    </w:pPr>
    <w:rPr>
      <w:rFonts w:ascii="TitilliumMaps26L 250 wt" w:hAnsi="TitilliumMaps26L 250 wt"/>
      <w:color w:val="0F375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33"/>
    <w:pPr>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97"/>
    <w:pPr>
      <w:tabs>
        <w:tab w:val="center" w:pos="4680"/>
        <w:tab w:val="right" w:pos="9360"/>
      </w:tabs>
      <w:autoSpaceDE/>
      <w:autoSpaceDN/>
      <w:adjustRightInd/>
    </w:pPr>
    <w:rPr>
      <w:rFonts w:asciiTheme="minorHAnsi" w:hAnsiTheme="minorHAnsi"/>
      <w:sz w:val="22"/>
      <w:szCs w:val="22"/>
    </w:rPr>
  </w:style>
  <w:style w:type="character" w:customStyle="1" w:styleId="HeaderChar">
    <w:name w:val="Header Char"/>
    <w:basedOn w:val="DefaultParagraphFont"/>
    <w:link w:val="Header"/>
    <w:uiPriority w:val="99"/>
    <w:rsid w:val="00E77997"/>
  </w:style>
  <w:style w:type="paragraph" w:styleId="Footer">
    <w:name w:val="footer"/>
    <w:basedOn w:val="Normal"/>
    <w:link w:val="FooterChar"/>
    <w:uiPriority w:val="99"/>
    <w:unhideWhenUsed/>
    <w:rsid w:val="00E77997"/>
    <w:pPr>
      <w:tabs>
        <w:tab w:val="center" w:pos="4680"/>
        <w:tab w:val="right" w:pos="9360"/>
      </w:tabs>
    </w:pPr>
  </w:style>
  <w:style w:type="character" w:customStyle="1" w:styleId="FooterChar">
    <w:name w:val="Footer Char"/>
    <w:basedOn w:val="DefaultParagraphFont"/>
    <w:link w:val="Footer"/>
    <w:uiPriority w:val="99"/>
    <w:rsid w:val="00E77997"/>
    <w:rPr>
      <w:rFonts w:ascii="Courier" w:hAnsi="Courier"/>
      <w:sz w:val="20"/>
      <w:szCs w:val="20"/>
    </w:rPr>
  </w:style>
  <w:style w:type="paragraph" w:styleId="BalloonText">
    <w:name w:val="Balloon Text"/>
    <w:basedOn w:val="Normal"/>
    <w:link w:val="BalloonTextChar"/>
    <w:uiPriority w:val="99"/>
    <w:semiHidden/>
    <w:unhideWhenUsed/>
    <w:rsid w:val="00E77997"/>
    <w:rPr>
      <w:rFonts w:ascii="Tahoma" w:hAnsi="Tahoma" w:cs="Tahoma"/>
      <w:sz w:val="16"/>
      <w:szCs w:val="16"/>
    </w:rPr>
  </w:style>
  <w:style w:type="character" w:customStyle="1" w:styleId="BalloonTextChar">
    <w:name w:val="Balloon Text Char"/>
    <w:basedOn w:val="DefaultParagraphFont"/>
    <w:link w:val="BalloonText"/>
    <w:uiPriority w:val="99"/>
    <w:semiHidden/>
    <w:rsid w:val="00E77997"/>
    <w:rPr>
      <w:rFonts w:ascii="Tahoma" w:hAnsi="Tahoma" w:cs="Tahoma"/>
      <w:sz w:val="16"/>
      <w:szCs w:val="16"/>
    </w:rPr>
  </w:style>
  <w:style w:type="character" w:styleId="Hyperlink">
    <w:name w:val="Hyperlink"/>
    <w:basedOn w:val="DefaultParagraphFont"/>
    <w:uiPriority w:val="99"/>
    <w:unhideWhenUsed/>
    <w:rsid w:val="004C7557"/>
    <w:rPr>
      <w:color w:val="0000FF" w:themeColor="hyperlink"/>
      <w:u w:val="single"/>
    </w:rPr>
  </w:style>
  <w:style w:type="paragraph" w:styleId="NormalWeb">
    <w:name w:val="Normal (Web)"/>
    <w:basedOn w:val="Normal"/>
    <w:uiPriority w:val="99"/>
    <w:semiHidden/>
    <w:unhideWhenUsed/>
    <w:rsid w:val="00D2221A"/>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2221A"/>
    <w:pPr>
      <w:ind w:left="720"/>
      <w:contextualSpacing/>
    </w:pPr>
  </w:style>
  <w:style w:type="paragraph" w:customStyle="1" w:styleId="subhead-blue">
    <w:name w:val="*subhead - blue"/>
    <w:basedOn w:val="Normal"/>
    <w:next w:val="Normal"/>
    <w:qFormat/>
    <w:rsid w:val="00D2221A"/>
    <w:pPr>
      <w:autoSpaceDE/>
      <w:autoSpaceDN/>
      <w:adjustRightInd/>
      <w:spacing w:after="180" w:line="300" w:lineRule="exact"/>
    </w:pPr>
    <w:rPr>
      <w:rFonts w:ascii="TitilliumMaps26L 250 wt" w:hAnsi="TitilliumMaps26L 250 wt"/>
      <w:color w:val="0F375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7529">
      <w:bodyDiv w:val="1"/>
      <w:marLeft w:val="0"/>
      <w:marRight w:val="0"/>
      <w:marTop w:val="0"/>
      <w:marBottom w:val="0"/>
      <w:divBdr>
        <w:top w:val="none" w:sz="0" w:space="0" w:color="auto"/>
        <w:left w:val="none" w:sz="0" w:space="0" w:color="auto"/>
        <w:bottom w:val="none" w:sz="0" w:space="0" w:color="auto"/>
        <w:right w:val="none" w:sz="0" w:space="0" w:color="auto"/>
      </w:divBdr>
    </w:div>
    <w:div w:id="1479374575">
      <w:bodyDiv w:val="1"/>
      <w:marLeft w:val="0"/>
      <w:marRight w:val="0"/>
      <w:marTop w:val="0"/>
      <w:marBottom w:val="0"/>
      <w:divBdr>
        <w:top w:val="none" w:sz="0" w:space="0" w:color="auto"/>
        <w:left w:val="none" w:sz="0" w:space="0" w:color="auto"/>
        <w:bottom w:val="none" w:sz="0" w:space="0" w:color="auto"/>
        <w:right w:val="none" w:sz="0" w:space="0" w:color="auto"/>
      </w:divBdr>
      <w:divsChild>
        <w:div w:id="205268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dattendance@cas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8</cp:revision>
  <cp:lastPrinted>2016-04-21T15:50:00Z</cp:lastPrinted>
  <dcterms:created xsi:type="dcterms:W3CDTF">2019-07-19T12:32:00Z</dcterms:created>
  <dcterms:modified xsi:type="dcterms:W3CDTF">2019-07-25T12:34:00Z</dcterms:modified>
</cp:coreProperties>
</file>