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63" w:rsidRDefault="00584163">
      <w:bookmarkStart w:id="0" w:name="_GoBack"/>
      <w:bookmarkEnd w:id="0"/>
      <w:r>
        <w:t>Per Aage Brandt</w:t>
      </w:r>
    </w:p>
    <w:p w:rsidR="00584163" w:rsidRDefault="00584163">
      <w:r>
        <w:t>ON THE GAIT OF TIME</w:t>
      </w:r>
    </w:p>
    <w:p w:rsidR="00584163" w:rsidRDefault="00584163"/>
    <w:p w:rsidR="004479D2" w:rsidRPr="00582753" w:rsidRDefault="00584163">
      <w:pPr>
        <w:rPr>
          <w:i/>
        </w:rPr>
      </w:pPr>
      <w:r w:rsidRPr="00582753">
        <w:rPr>
          <w:i/>
        </w:rPr>
        <w:t>Time runs out, time flies, time goes by; die Zeit ve</w:t>
      </w:r>
      <w:r w:rsidR="00582753" w:rsidRPr="00582753">
        <w:rPr>
          <w:i/>
        </w:rPr>
        <w:t>r</w:t>
      </w:r>
      <w:r w:rsidRPr="00582753">
        <w:rPr>
          <w:i/>
        </w:rPr>
        <w:t>geht; le temps passe et court; tempus fugit; el tiempo pasa…</w:t>
      </w:r>
    </w:p>
    <w:p w:rsidR="006C6817" w:rsidRDefault="004479D2" w:rsidP="004479D2">
      <w:pPr>
        <w:spacing w:line="360" w:lineRule="auto"/>
      </w:pPr>
      <w:r>
        <w:t>Expressions like the above are common in most languages and often elicite comments in cognitive semantics, where it is regularly assumed that they are manifestations of a conceptual metaphor</w:t>
      </w:r>
      <w:r w:rsidR="004E7A4B">
        <w:t>,</w:t>
      </w:r>
      <w:r>
        <w:t xml:space="preserve"> TIME IS SPACE.</w:t>
      </w:r>
      <w:r w:rsidR="006C6817">
        <w:t xml:space="preserve"> This is the case in Turner and Fauconn</w:t>
      </w:r>
      <w:r w:rsidR="005906A3">
        <w:t>i</w:t>
      </w:r>
      <w:r w:rsidR="006C6817">
        <w:t>er 2008.</w:t>
      </w:r>
      <w:r>
        <w:rPr>
          <w:rStyle w:val="FootnoteReference"/>
        </w:rPr>
        <w:footnoteReference w:id="1"/>
      </w:r>
      <w:r>
        <w:t xml:space="preserve"> </w:t>
      </w:r>
      <w:r w:rsidR="006C6817">
        <w:t>In the m</w:t>
      </w:r>
      <w:r w:rsidR="005906A3">
        <w:t>ental-space based theory of that</w:t>
      </w:r>
      <w:r w:rsidR="006C6817">
        <w:t xml:space="preserve"> article, </w:t>
      </w:r>
      <w:r w:rsidR="006C6817" w:rsidRPr="004E7A4B">
        <w:rPr>
          <w:u w:val="single"/>
        </w:rPr>
        <w:t>space</w:t>
      </w:r>
      <w:r w:rsidR="006C6817">
        <w:t xml:space="preserve"> and </w:t>
      </w:r>
      <w:r w:rsidR="006C6817" w:rsidRPr="004E7A4B">
        <w:rPr>
          <w:u w:val="single"/>
        </w:rPr>
        <w:t>time</w:t>
      </w:r>
      <w:r w:rsidR="006C6817">
        <w:t xml:space="preserve"> are treated as separate ‘input’ domains, not as ‘source’ and target’, </w:t>
      </w:r>
      <w:r w:rsidR="005906A3">
        <w:t xml:space="preserve">as in conceptual metaphor theory, </w:t>
      </w:r>
      <w:r w:rsidR="006C6817">
        <w:t xml:space="preserve">but rather as separate ‘sources’ to a ‘target’ blend, corresponding to the content of the quoted sentences. </w:t>
      </w:r>
      <w:r w:rsidR="006C6817" w:rsidRPr="006C6817">
        <w:rPr>
          <w:u w:val="single"/>
        </w:rPr>
        <w:t>Time</w:t>
      </w:r>
      <w:r w:rsidR="006C6817">
        <w:t xml:space="preserve"> comes from the input </w:t>
      </w:r>
      <w:r w:rsidR="006C6817" w:rsidRPr="006C6817">
        <w:rPr>
          <w:u w:val="single"/>
        </w:rPr>
        <w:t>Time</w:t>
      </w:r>
      <w:r w:rsidR="006C6817">
        <w:t xml:space="preserve">, and </w:t>
      </w:r>
      <w:r w:rsidR="006C6817" w:rsidRPr="006C6817">
        <w:rPr>
          <w:u w:val="single"/>
        </w:rPr>
        <w:t>run, go, fly</w:t>
      </w:r>
      <w:r w:rsidR="006C6817">
        <w:t xml:space="preserve"> etc. come from the input </w:t>
      </w:r>
      <w:r w:rsidR="006C6817" w:rsidRPr="006C6817">
        <w:rPr>
          <w:u w:val="single"/>
        </w:rPr>
        <w:t>Space</w:t>
      </w:r>
      <w:r w:rsidR="006C6817">
        <w:t xml:space="preserve">. How the </w:t>
      </w:r>
      <w:r w:rsidR="006C6817" w:rsidRPr="006C6817">
        <w:rPr>
          <w:u w:val="single"/>
        </w:rPr>
        <w:t>Time</w:t>
      </w:r>
      <w:r w:rsidR="006C6817">
        <w:t xml:space="preserve"> input contributes is unclear; </w:t>
      </w:r>
      <w:r w:rsidR="006C6817" w:rsidRPr="006C6817">
        <w:rPr>
          <w:u w:val="single"/>
        </w:rPr>
        <w:t>Space</w:t>
      </w:r>
      <w:r w:rsidR="006C6817">
        <w:t xml:space="preserve"> contributes by providing ‘moving object’. So time becomes a moving object in the blend. This is essentially what is said.</w:t>
      </w:r>
    </w:p>
    <w:p w:rsidR="005906A3" w:rsidRDefault="006C6817" w:rsidP="004479D2">
      <w:pPr>
        <w:spacing w:line="360" w:lineRule="auto"/>
      </w:pPr>
      <w:r>
        <w:lastRenderedPageBreak/>
        <w:t>In this note, I am going to</w:t>
      </w:r>
      <w:r w:rsidR="005906A3">
        <w:t xml:space="preserve"> offer a critical comment to that</w:t>
      </w:r>
      <w:r>
        <w:t xml:space="preserve"> analysis</w:t>
      </w:r>
      <w:r w:rsidR="005906A3">
        <w:t xml:space="preserve">. Someone may utter, for example: “Oh, see how time flies, we have to hurry up now!”; the meaning effect of this construction is emotional, and the imagery of the ‘flying’ time is vivid enough to make the expression truly metaphorical, that, is, experienced as a predicative mapping between </w:t>
      </w:r>
      <w:r w:rsidR="004D64C3">
        <w:t xml:space="preserve">themes belonging to </w:t>
      </w:r>
      <w:r w:rsidR="005906A3">
        <w:t xml:space="preserve">distinct semantic domains – one natural and animal, the other social and human. The former is activated as </w:t>
      </w:r>
      <w:r w:rsidR="005906A3" w:rsidRPr="005906A3">
        <w:rPr>
          <w:u w:val="single"/>
        </w:rPr>
        <w:t>generic</w:t>
      </w:r>
      <w:r w:rsidR="005906A3">
        <w:t xml:space="preserve"> in the predication (flying is a generic property of birds), whereas the latter is activated as </w:t>
      </w:r>
      <w:r w:rsidR="005906A3" w:rsidRPr="005906A3">
        <w:rPr>
          <w:u w:val="single"/>
        </w:rPr>
        <w:t>deictic</w:t>
      </w:r>
      <w:r w:rsidR="005906A3">
        <w:t xml:space="preserve"> in the predication (time is flying </w:t>
      </w:r>
      <w:r w:rsidR="005906A3" w:rsidRPr="005906A3">
        <w:rPr>
          <w:u w:val="single"/>
        </w:rPr>
        <w:t>right now</w:t>
      </w:r>
      <w:r w:rsidR="005906A3">
        <w:t>, where we are</w:t>
      </w:r>
      <w:r w:rsidR="004E7A4B">
        <w:t xml:space="preserve"> sitting</w:t>
      </w:r>
      <w:r w:rsidR="005906A3">
        <w:t>, so absorbed in our doings that we are forgetting what time it is</w:t>
      </w:r>
      <w:r w:rsidR="004E7A4B">
        <w:t>, and that we should be moving on</w:t>
      </w:r>
      <w:r w:rsidR="005906A3">
        <w:t xml:space="preserve">). </w:t>
      </w:r>
    </w:p>
    <w:p w:rsidR="00B06844" w:rsidRDefault="005906A3" w:rsidP="004479D2">
      <w:pPr>
        <w:spacing w:line="360" w:lineRule="auto"/>
      </w:pPr>
      <w:r>
        <w:t xml:space="preserve"> </w:t>
      </w:r>
      <w:r w:rsidR="004D64C3">
        <w:t xml:space="preserve">In order for the </w:t>
      </w:r>
      <w:r w:rsidR="005A5753">
        <w:t xml:space="preserve">(presentational) </w:t>
      </w:r>
      <w:r w:rsidR="004D64C3">
        <w:t xml:space="preserve">mental film of the flying bird to map onto temporal experience, in the expression “Time flies!”, this </w:t>
      </w:r>
      <w:r w:rsidR="005A5753">
        <w:t xml:space="preserve">(referential) </w:t>
      </w:r>
      <w:r w:rsidR="004D64C3">
        <w:t>experience has to already possess a given phenomenological structure. In fact, time does possess such a structure, which is independent of the</w:t>
      </w:r>
      <w:r w:rsidR="00045602">
        <w:t xml:space="preserve"> </w:t>
      </w:r>
      <w:r w:rsidR="00045602" w:rsidRPr="00045602">
        <w:rPr>
          <w:u w:val="single"/>
        </w:rPr>
        <w:t>fly</w:t>
      </w:r>
      <w:r w:rsidR="004D64C3">
        <w:t xml:space="preserve"> metaphor. As all themes of mental representation, temporal items are </w:t>
      </w:r>
      <w:r w:rsidR="005A5753">
        <w:t xml:space="preserve">intrinsically </w:t>
      </w:r>
      <w:r w:rsidR="004D64C3">
        <w:t xml:space="preserve">schematized. </w:t>
      </w:r>
      <w:r w:rsidR="005A5753">
        <w:t xml:space="preserve">Here is my suggested account of this schematization: </w:t>
      </w:r>
      <w:r w:rsidR="004D64C3">
        <w:t xml:space="preserve">The subject is situated in a presence frame inserted between the realm of things past and things future. Events happen to the subject as </w:t>
      </w:r>
      <w:r w:rsidR="005A5753">
        <w:t>emerging</w:t>
      </w:r>
      <w:r w:rsidR="004D64C3">
        <w:t xml:space="preserve"> from the future and </w:t>
      </w:r>
      <w:r w:rsidR="005A5753">
        <w:t>disappearing</w:t>
      </w:r>
      <w:r w:rsidR="004D64C3">
        <w:t xml:space="preserve"> into the past; the subject itself is </w:t>
      </w:r>
      <w:r w:rsidR="005A5753">
        <w:t>inversely emerging</w:t>
      </w:r>
      <w:r w:rsidR="004D64C3">
        <w:t xml:space="preserve"> from the past and </w:t>
      </w:r>
      <w:r w:rsidR="005A5753">
        <w:t>oriented towards</w:t>
      </w:r>
      <w:r w:rsidR="004D64C3">
        <w:t xml:space="preserve"> the future. </w:t>
      </w:r>
      <w:r w:rsidR="00045602">
        <w:t xml:space="preserve">Events and subject of experience ‘meet’ and ‘clash’ more or less dramatically in the presence frame. The subject’s own acts are equally experienced as </w:t>
      </w:r>
      <w:r w:rsidR="005A5753">
        <w:t>originating</w:t>
      </w:r>
      <w:r w:rsidR="00045602">
        <w:t xml:space="preserve"> in the future, as plans, and ending in the past, when they are ‘over’, whether they are </w:t>
      </w:r>
      <w:r w:rsidR="005A5753">
        <w:t xml:space="preserve">then </w:t>
      </w:r>
      <w:r w:rsidR="00045602">
        <w:t>completed or not. Time</w:t>
      </w:r>
      <w:r w:rsidR="00784C26">
        <w:t>, in the presence frame,</w:t>
      </w:r>
      <w:r w:rsidR="00045602">
        <w:t xml:space="preserve"> </w:t>
      </w:r>
      <w:r w:rsidR="005A5753">
        <w:t xml:space="preserve">furthermore </w:t>
      </w:r>
      <w:r w:rsidR="00045602">
        <w:t xml:space="preserve">has an </w:t>
      </w:r>
      <w:r w:rsidR="00045602" w:rsidRPr="00045602">
        <w:rPr>
          <w:u w:val="single"/>
        </w:rPr>
        <w:t>inherent metric</w:t>
      </w:r>
      <w:r w:rsidR="00045602">
        <w:t>, in that the subject can generate countable beats by a reflexive</w:t>
      </w:r>
      <w:r w:rsidR="00784C26">
        <w:t xml:space="preserve"> bodily activity called </w:t>
      </w:r>
      <w:r w:rsidR="00784C26" w:rsidRPr="00784C26">
        <w:rPr>
          <w:u w:val="single"/>
        </w:rPr>
        <w:t>rhythm</w:t>
      </w:r>
      <w:r w:rsidR="00784C26">
        <w:t xml:space="preserve">; the subject can intentionally express regular series of ‘nows’ through movements of certain body parts, rhythmically realizing tactile cascades of such </w:t>
      </w:r>
      <w:r w:rsidR="00784C26" w:rsidRPr="00784C26">
        <w:rPr>
          <w:u w:val="single"/>
        </w:rPr>
        <w:t>beats</w:t>
      </w:r>
      <w:r w:rsidR="00784C26">
        <w:t xml:space="preserve"> and immediately perceiving them: reflexive self-perception – the body addressing itself, so to speak, by generating its own </w:t>
      </w:r>
      <w:r w:rsidR="005A5753">
        <w:t xml:space="preserve">periodic </w:t>
      </w:r>
      <w:r w:rsidR="00784C26">
        <w:t xml:space="preserve">sensations – is a constitutive aspect of subjectivity. </w:t>
      </w:r>
      <w:r w:rsidR="005A5753">
        <w:t xml:space="preserve">Subjectivity is inherently rhythmic. </w:t>
      </w:r>
      <w:r w:rsidR="00784C26">
        <w:t xml:space="preserve">Inter-subjectivity, correspondingly, begins in rhythmic attunement between </w:t>
      </w:r>
      <w:r w:rsidR="00B06844">
        <w:t>the bodies of subjects perceiving each others’ expressions as they perceive the</w:t>
      </w:r>
      <w:r w:rsidR="005A5753">
        <w:t>ir own and as the other’s experiences the</w:t>
      </w:r>
      <w:r w:rsidR="00B06844">
        <w:t xml:space="preserve">m themselves. The phenomenological instance called ‘consciousness of time’ (Zeitbewusstheit) relies on, or even consists in, this potentially shared rhythmic self-perception, alias: reflexivity. </w:t>
      </w:r>
      <w:r w:rsidR="005A5753">
        <w:t>Shared reflexivity underlies shared attention.</w:t>
      </w:r>
    </w:p>
    <w:p w:rsidR="00AD4FFE" w:rsidRDefault="00B06844" w:rsidP="004479D2">
      <w:pPr>
        <w:spacing w:line="360" w:lineRule="auto"/>
      </w:pPr>
      <w:r>
        <w:t xml:space="preserve">When events enter into the subjective presence frame, they are </w:t>
      </w:r>
      <w:r w:rsidRPr="00B06844">
        <w:rPr>
          <w:u w:val="single"/>
        </w:rPr>
        <w:t>received</w:t>
      </w:r>
      <w:r>
        <w:t xml:space="preserve"> through this basic, rhythmic pulsation of consciousness, whether its bodily expression is motorically manifested or suppressed. </w:t>
      </w:r>
      <w:r w:rsidR="006B0B78">
        <w:t xml:space="preserve">Before events happen, they can be </w:t>
      </w:r>
      <w:r w:rsidR="006B0B78" w:rsidRPr="006B0B78">
        <w:rPr>
          <w:u w:val="single"/>
        </w:rPr>
        <w:t>expected</w:t>
      </w:r>
      <w:r w:rsidR="006B0B78">
        <w:t>, and the subject can thus prepare bodily and mentally for their reception, because the</w:t>
      </w:r>
      <w:r w:rsidR="00735C66">
        <w:t xml:space="preserve"> phenomenological metrics allows the subject to project the beat cascades into the future. In that case, an event traverses a metrically stable ‘expectation space’ </w:t>
      </w:r>
      <w:r w:rsidR="002219E0">
        <w:t xml:space="preserve">immediately </w:t>
      </w:r>
      <w:r w:rsidR="00735C66">
        <w:t xml:space="preserve">before arriving in the presence frame; having thrown a stone into a deep well we expect and wait for the resounding splash of its hitting the water. Subjects thus attune to the surrounding world of events; expectation rhythm will often match the rhythm of perceived events, which will make the feeling of time vanish; but </w:t>
      </w:r>
      <w:r w:rsidR="0086466F">
        <w:t xml:space="preserve">events can ‘slow down’ and create a feeling of </w:t>
      </w:r>
      <w:r w:rsidR="0086466F" w:rsidRPr="002219E0">
        <w:rPr>
          <w:u w:val="single"/>
        </w:rPr>
        <w:t>temporal expansion</w:t>
      </w:r>
      <w:r w:rsidR="0086466F">
        <w:t xml:space="preserve">, or they can ‘speed up’ and let us feel a </w:t>
      </w:r>
      <w:r w:rsidR="0086466F" w:rsidRPr="002219E0">
        <w:rPr>
          <w:u w:val="single"/>
        </w:rPr>
        <w:t>temporal contraction</w:t>
      </w:r>
      <w:r w:rsidR="0086466F">
        <w:t xml:space="preserve">. This </w:t>
      </w:r>
      <w:r w:rsidR="0086466F" w:rsidRPr="0086466F">
        <w:rPr>
          <w:u w:val="single"/>
        </w:rPr>
        <w:t>plasticity of time</w:t>
      </w:r>
      <w:r w:rsidR="0086466F">
        <w:t xml:space="preserve"> is inherent in human time consciousness. </w:t>
      </w:r>
      <w:r w:rsidR="00AD4FFE">
        <w:t xml:space="preserve">It can evidently be caused either by </w:t>
      </w:r>
      <w:r w:rsidR="002219E0">
        <w:t xml:space="preserve">external </w:t>
      </w:r>
      <w:r w:rsidR="00AD4FFE">
        <w:t xml:space="preserve">changes in event rhythm or by </w:t>
      </w:r>
      <w:r w:rsidR="002219E0">
        <w:t xml:space="preserve">internal </w:t>
      </w:r>
      <w:r w:rsidR="00AD4FFE">
        <w:t>changes</w:t>
      </w:r>
      <w:r w:rsidR="002219E0">
        <w:t>,</w:t>
      </w:r>
      <w:r w:rsidR="00AD4FFE">
        <w:t xml:space="preserve"> occurring in the subject’s rhythm of expectation and present experience.</w:t>
      </w:r>
    </w:p>
    <w:p w:rsidR="006971AB" w:rsidRDefault="00AD4FFE" w:rsidP="004479D2">
      <w:pPr>
        <w:spacing w:line="360" w:lineRule="auto"/>
      </w:pPr>
      <w:r>
        <w:t xml:space="preserve">“Time flies”, when </w:t>
      </w:r>
      <w:r w:rsidR="0062789B">
        <w:t xml:space="preserve">we experience temporal contraction, while time “drags” due to temporal expansion; we can </w:t>
      </w:r>
      <w:r w:rsidR="002219E0">
        <w:t xml:space="preserve">metaphorically </w:t>
      </w:r>
      <w:r w:rsidR="0062789B">
        <w:t xml:space="preserve">activate a </w:t>
      </w:r>
      <w:r w:rsidR="0062789B" w:rsidRPr="0062789B">
        <w:rPr>
          <w:u w:val="single"/>
        </w:rPr>
        <w:t>bird</w:t>
      </w:r>
      <w:r w:rsidR="0062789B">
        <w:t xml:space="preserve"> or a </w:t>
      </w:r>
      <w:r w:rsidR="0062789B" w:rsidRPr="0062789B">
        <w:rPr>
          <w:u w:val="single"/>
        </w:rPr>
        <w:t>snail</w:t>
      </w:r>
      <w:r w:rsidR="0062789B">
        <w:t xml:space="preserve">, respectively, and map the generic motoric style of this figurative being onto </w:t>
      </w:r>
      <w:r w:rsidR="006350A5">
        <w:t xml:space="preserve">the experienced rhythmic </w:t>
      </w:r>
      <w:r w:rsidR="006350A5" w:rsidRPr="006350A5">
        <w:rPr>
          <w:u w:val="single"/>
        </w:rPr>
        <w:t>relation</w:t>
      </w:r>
      <w:r w:rsidR="006350A5">
        <w:t xml:space="preserve"> between subject and event – which is eventually what we call ‘time’. </w:t>
      </w:r>
      <w:r w:rsidR="009C49F2">
        <w:t xml:space="preserve">The result is a specific temporal “gait”, as my note title says. </w:t>
      </w:r>
    </w:p>
    <w:p w:rsidR="002219E0" w:rsidRDefault="006971AB" w:rsidP="004479D2">
      <w:pPr>
        <w:spacing w:line="360" w:lineRule="auto"/>
      </w:pPr>
      <w:r>
        <w:t>What we see as a ‘moving object’ in the metaphoric blend created by the verbal expression is ‘time’ in this sense: the</w:t>
      </w:r>
      <w:r w:rsidR="002219E0">
        <w:t xml:space="preserve"> elastic</w:t>
      </w:r>
      <w:r>
        <w:t xml:space="preserve"> </w:t>
      </w:r>
      <w:r w:rsidRPr="006971AB">
        <w:rPr>
          <w:u w:val="single"/>
        </w:rPr>
        <w:t>co-presence of event and subject</w:t>
      </w:r>
      <w:r>
        <w:t>.</w:t>
      </w:r>
    </w:p>
    <w:p w:rsidR="00060C3E" w:rsidRDefault="00E75EF8" w:rsidP="004479D2">
      <w:pPr>
        <w:spacing w:line="360" w:lineRule="auto"/>
      </w:pPr>
      <w:r>
        <w:t xml:space="preserve">I suspect that when we say that “time flies”, we mean that it flies </w:t>
      </w:r>
      <w:r w:rsidRPr="00E75EF8">
        <w:rPr>
          <w:u w:val="single"/>
        </w:rPr>
        <w:t>away</w:t>
      </w:r>
      <w:r>
        <w:t xml:space="preserve"> from us, so if  we wanted to hold it back, it would no longer be possible, since it is already almost gone: the animal is already almost absent, so what was possible when it was present, is now becoming impossible. </w:t>
      </w:r>
      <w:r w:rsidR="009200A8">
        <w:t xml:space="preserve">“There is still time” would express the good news that the possibilizing circumstance of what is possible is not yet gone into the past. </w:t>
      </w:r>
      <w:r w:rsidR="009C49F2">
        <w:t xml:space="preserve">This expression is not even metaphorical at all. </w:t>
      </w:r>
      <w:r w:rsidR="00060C3E">
        <w:t>Time is not a metaphorical construct, despite the fact that we can refer to time metaphorically, thereby producing certain meaning effects – typically modal and emotional.</w:t>
      </w:r>
    </w:p>
    <w:p w:rsidR="002219E0" w:rsidRDefault="00060C3E" w:rsidP="004479D2">
      <w:pPr>
        <w:spacing w:line="360" w:lineRule="auto"/>
      </w:pPr>
      <w:r>
        <w:t xml:space="preserve">A phenomenology of time will find conceptual metaphor CP </w:t>
      </w:r>
      <w:r w:rsidRPr="00060C3E">
        <w:rPr>
          <w:u w:val="single"/>
        </w:rPr>
        <w:t>ontologically</w:t>
      </w:r>
      <w:r>
        <w:t xml:space="preserve"> overestimated, since no metaphor can create time experience itself, which is what CP claims. It will furthermore find the “Rethinking” conceptual-cum-blending analysis </w:t>
      </w:r>
      <w:r w:rsidRPr="00060C3E">
        <w:rPr>
          <w:u w:val="single"/>
        </w:rPr>
        <w:t>methodologically</w:t>
      </w:r>
      <w:r>
        <w:t xml:space="preserve"> impaired by its arbitrary postulations of mental spaces, domains, and emergent entities. </w:t>
      </w:r>
    </w:p>
    <w:p w:rsidR="004479D2" w:rsidRDefault="002219E0" w:rsidP="004479D2">
      <w:pPr>
        <w:spacing w:line="360" w:lineRule="auto"/>
      </w:pPr>
      <w:r>
        <w:t>***</w:t>
      </w:r>
    </w:p>
    <w:p w:rsidR="00584163" w:rsidRDefault="00584163" w:rsidP="004479D2">
      <w:pPr>
        <w:spacing w:line="360" w:lineRule="auto"/>
      </w:pPr>
    </w:p>
    <w:p w:rsidR="00582753" w:rsidRDefault="00582753"/>
    <w:sectPr w:rsidR="00582753" w:rsidSect="00582753">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26D00">
      <w:pPr>
        <w:spacing w:after="0"/>
      </w:pPr>
      <w:r>
        <w:separator/>
      </w:r>
    </w:p>
  </w:endnote>
  <w:endnote w:type="continuationSeparator" w:id="0">
    <w:p w:rsidR="00000000" w:rsidRDefault="00826D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3E" w:rsidRDefault="00060C3E">
    <w:pPr>
      <w:pStyle w:val="Footer"/>
    </w:pPr>
    <w:r>
      <w:tab/>
    </w:r>
    <w:r>
      <w:rPr>
        <w:rStyle w:val="PageNumber"/>
      </w:rPr>
      <w:fldChar w:fldCharType="begin"/>
    </w:r>
    <w:r>
      <w:rPr>
        <w:rStyle w:val="PageNumber"/>
      </w:rPr>
      <w:instrText xml:space="preserve"> PAGE </w:instrText>
    </w:r>
    <w:r>
      <w:rPr>
        <w:rStyle w:val="PageNumber"/>
      </w:rPr>
      <w:fldChar w:fldCharType="separate"/>
    </w:r>
    <w:r w:rsidR="00826D0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26D00">
      <w:pPr>
        <w:spacing w:after="0"/>
      </w:pPr>
      <w:r>
        <w:separator/>
      </w:r>
    </w:p>
  </w:footnote>
  <w:footnote w:type="continuationSeparator" w:id="0">
    <w:p w:rsidR="00000000" w:rsidRDefault="00826D00">
      <w:pPr>
        <w:spacing w:after="0"/>
      </w:pPr>
      <w:r>
        <w:continuationSeparator/>
      </w:r>
    </w:p>
  </w:footnote>
  <w:footnote w:id="1">
    <w:p w:rsidR="00060C3E" w:rsidRDefault="00060C3E">
      <w:pPr>
        <w:pStyle w:val="FootnoteText"/>
      </w:pPr>
      <w:r>
        <w:rPr>
          <w:rStyle w:val="FootnoteReference"/>
        </w:rPr>
        <w:footnoteRef/>
      </w:r>
      <w:r>
        <w:t xml:space="preserve"> See M. Turner and G. Fauconnier, 2008, “Rethinking Metaphor”, in (ed.) R. Gibbs, </w:t>
      </w:r>
      <w:r w:rsidRPr="004479D2">
        <w:rPr>
          <w:u w:val="single"/>
        </w:rPr>
        <w:t>Cambridge Handbook of Metaphor and Thought</w:t>
      </w:r>
      <w:r>
        <w:t>, Cambridge: Cambridge University Press. “Time as space is a deep metaphor for all human beings.”</w:t>
      </w:r>
      <w:r w:rsidRPr="00A962EF">
        <w:t xml:space="preserve"> </w:t>
      </w:r>
      <w:r>
        <w:t>The point of the article is to show that many spaces are involved. The authors’ first – self-made and context-free – example, “</w:t>
      </w:r>
      <w:r w:rsidRPr="00A962EF">
        <w:rPr>
          <w:i/>
        </w:rPr>
        <w:t>Three hours went by, and then they had dinner</w:t>
      </w:r>
      <w:r>
        <w:t xml:space="preserve">,” shows that “we have not merely projected units of measurement onto time, but also turned those units into moving objects. This does not come from projecting units of measurement onto time. In the domain of space, a unit of measurement is not a moving object. These are incompatible sorts of elements. But in the blend, we project onto a temporal experience both unit of measurement </w:t>
      </w:r>
      <w:r w:rsidRPr="00A962EF">
        <w:rPr>
          <w:i/>
        </w:rPr>
        <w:t>and</w:t>
      </w:r>
      <w:r>
        <w:t xml:space="preserve"> moving object from the domain of space. Incompatible elements in the domain for space are thus fused to identity for time in the blend. The notion of hours as simultaneously moving objects and units of measurement is emergent in the blended space.”</w:t>
      </w:r>
    </w:p>
    <w:p w:rsidR="00060C3E" w:rsidRDefault="00060C3E">
      <w:pPr>
        <w:pStyle w:val="FootnoteText"/>
      </w:pPr>
      <w:r>
        <w:t xml:space="preserve">   So ‘hours’ are from a </w:t>
      </w:r>
      <w:r w:rsidRPr="003F30FD">
        <w:rPr>
          <w:u w:val="single"/>
        </w:rPr>
        <w:t>domain of space</w:t>
      </w:r>
      <w:r>
        <w:t xml:space="preserve">, not from time. ‘Going by’ is from space, not from time, and ‘hours that can go by’ are spatial units of measurement that miraculously start to walk around, when they are imported to a blend with ‘time’ from the domain of time. That is the analysis offered. </w:t>
      </w:r>
    </w:p>
    <w:p w:rsidR="00060C3E" w:rsidRDefault="00060C3E">
      <w:pPr>
        <w:pStyle w:val="FootnoteText"/>
      </w:pPr>
      <w:r>
        <w:t xml:space="preserve">   I would like to comment that I do not think there is a “domain of space”, since all imaginable domains inherently have spatial extension, not by metaphor but by the very fact of being imaginable. The notion of “domain” needs clarification; if it is not experiential, I think it is meaningless. Experiential domains are cognitively real semantic areas of phenomena appearing to experiencers in the human life world.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163"/>
    <w:rsid w:val="00045602"/>
    <w:rsid w:val="00060C3E"/>
    <w:rsid w:val="002219E0"/>
    <w:rsid w:val="00295185"/>
    <w:rsid w:val="00337511"/>
    <w:rsid w:val="003637F8"/>
    <w:rsid w:val="003F30FD"/>
    <w:rsid w:val="004479D2"/>
    <w:rsid w:val="004D64C3"/>
    <w:rsid w:val="004E7A4B"/>
    <w:rsid w:val="00582753"/>
    <w:rsid w:val="00584163"/>
    <w:rsid w:val="005906A3"/>
    <w:rsid w:val="005A5753"/>
    <w:rsid w:val="005B7031"/>
    <w:rsid w:val="0062789B"/>
    <w:rsid w:val="006350A5"/>
    <w:rsid w:val="006971AB"/>
    <w:rsid w:val="006B0B78"/>
    <w:rsid w:val="006C6817"/>
    <w:rsid w:val="00735C66"/>
    <w:rsid w:val="00784C26"/>
    <w:rsid w:val="00826D00"/>
    <w:rsid w:val="0086466F"/>
    <w:rsid w:val="009200A8"/>
    <w:rsid w:val="009C49F2"/>
    <w:rsid w:val="00A81EF5"/>
    <w:rsid w:val="00A962EF"/>
    <w:rsid w:val="00AD4FFE"/>
    <w:rsid w:val="00B06844"/>
    <w:rsid w:val="00E75E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479D2"/>
    <w:pPr>
      <w:spacing w:after="0"/>
    </w:pPr>
  </w:style>
  <w:style w:type="character" w:customStyle="1" w:styleId="FootnoteTextChar">
    <w:name w:val="Footnote Text Char"/>
    <w:basedOn w:val="DefaultParagraphFont"/>
    <w:link w:val="FootnoteText"/>
    <w:uiPriority w:val="99"/>
    <w:rsid w:val="004479D2"/>
  </w:style>
  <w:style w:type="character" w:styleId="FootnoteReference">
    <w:name w:val="footnote reference"/>
    <w:basedOn w:val="DefaultParagraphFont"/>
    <w:uiPriority w:val="99"/>
    <w:semiHidden/>
    <w:unhideWhenUsed/>
    <w:rsid w:val="004479D2"/>
    <w:rPr>
      <w:vertAlign w:val="superscript"/>
    </w:rPr>
  </w:style>
  <w:style w:type="paragraph" w:styleId="Header">
    <w:name w:val="header"/>
    <w:basedOn w:val="Normal"/>
    <w:link w:val="HeaderChar"/>
    <w:uiPriority w:val="99"/>
    <w:semiHidden/>
    <w:unhideWhenUsed/>
    <w:rsid w:val="00AD4FFE"/>
    <w:pPr>
      <w:tabs>
        <w:tab w:val="center" w:pos="4320"/>
        <w:tab w:val="right" w:pos="8640"/>
      </w:tabs>
      <w:spacing w:after="0"/>
    </w:pPr>
  </w:style>
  <w:style w:type="character" w:customStyle="1" w:styleId="HeaderChar">
    <w:name w:val="Header Char"/>
    <w:basedOn w:val="DefaultParagraphFont"/>
    <w:link w:val="Header"/>
    <w:uiPriority w:val="99"/>
    <w:semiHidden/>
    <w:rsid w:val="00AD4FFE"/>
  </w:style>
  <w:style w:type="paragraph" w:styleId="Footer">
    <w:name w:val="footer"/>
    <w:basedOn w:val="Normal"/>
    <w:link w:val="FooterChar"/>
    <w:uiPriority w:val="99"/>
    <w:unhideWhenUsed/>
    <w:rsid w:val="00AD4FFE"/>
    <w:pPr>
      <w:tabs>
        <w:tab w:val="center" w:pos="4320"/>
        <w:tab w:val="right" w:pos="8640"/>
      </w:tabs>
      <w:spacing w:after="0"/>
    </w:pPr>
  </w:style>
  <w:style w:type="character" w:customStyle="1" w:styleId="FooterChar">
    <w:name w:val="Footer Char"/>
    <w:basedOn w:val="DefaultParagraphFont"/>
    <w:link w:val="Footer"/>
    <w:uiPriority w:val="99"/>
    <w:rsid w:val="00AD4FFE"/>
  </w:style>
  <w:style w:type="character" w:styleId="PageNumber">
    <w:name w:val="page number"/>
    <w:basedOn w:val="DefaultParagraphFont"/>
    <w:uiPriority w:val="99"/>
    <w:semiHidden/>
    <w:unhideWhenUsed/>
    <w:rsid w:val="00AD4F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479D2"/>
    <w:pPr>
      <w:spacing w:after="0"/>
    </w:pPr>
  </w:style>
  <w:style w:type="character" w:customStyle="1" w:styleId="FootnoteTextChar">
    <w:name w:val="Footnote Text Char"/>
    <w:basedOn w:val="DefaultParagraphFont"/>
    <w:link w:val="FootnoteText"/>
    <w:uiPriority w:val="99"/>
    <w:rsid w:val="004479D2"/>
  </w:style>
  <w:style w:type="character" w:styleId="FootnoteReference">
    <w:name w:val="footnote reference"/>
    <w:basedOn w:val="DefaultParagraphFont"/>
    <w:uiPriority w:val="99"/>
    <w:semiHidden/>
    <w:unhideWhenUsed/>
    <w:rsid w:val="004479D2"/>
    <w:rPr>
      <w:vertAlign w:val="superscript"/>
    </w:rPr>
  </w:style>
  <w:style w:type="paragraph" w:styleId="Header">
    <w:name w:val="header"/>
    <w:basedOn w:val="Normal"/>
    <w:link w:val="HeaderChar"/>
    <w:uiPriority w:val="99"/>
    <w:semiHidden/>
    <w:unhideWhenUsed/>
    <w:rsid w:val="00AD4FFE"/>
    <w:pPr>
      <w:tabs>
        <w:tab w:val="center" w:pos="4320"/>
        <w:tab w:val="right" w:pos="8640"/>
      </w:tabs>
      <w:spacing w:after="0"/>
    </w:pPr>
  </w:style>
  <w:style w:type="character" w:customStyle="1" w:styleId="HeaderChar">
    <w:name w:val="Header Char"/>
    <w:basedOn w:val="DefaultParagraphFont"/>
    <w:link w:val="Header"/>
    <w:uiPriority w:val="99"/>
    <w:semiHidden/>
    <w:rsid w:val="00AD4FFE"/>
  </w:style>
  <w:style w:type="paragraph" w:styleId="Footer">
    <w:name w:val="footer"/>
    <w:basedOn w:val="Normal"/>
    <w:link w:val="FooterChar"/>
    <w:uiPriority w:val="99"/>
    <w:unhideWhenUsed/>
    <w:rsid w:val="00AD4FFE"/>
    <w:pPr>
      <w:tabs>
        <w:tab w:val="center" w:pos="4320"/>
        <w:tab w:val="right" w:pos="8640"/>
      </w:tabs>
      <w:spacing w:after="0"/>
    </w:pPr>
  </w:style>
  <w:style w:type="character" w:customStyle="1" w:styleId="FooterChar">
    <w:name w:val="Footer Char"/>
    <w:basedOn w:val="DefaultParagraphFont"/>
    <w:link w:val="Footer"/>
    <w:uiPriority w:val="99"/>
    <w:rsid w:val="00AD4FFE"/>
  </w:style>
  <w:style w:type="character" w:styleId="PageNumber">
    <w:name w:val="page number"/>
    <w:basedOn w:val="DefaultParagraphFont"/>
    <w:uiPriority w:val="99"/>
    <w:semiHidden/>
    <w:unhideWhenUsed/>
    <w:rsid w:val="00AD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5472</Characters>
  <Application>Microsoft Macintosh Word</Application>
  <DocSecurity>0</DocSecurity>
  <Lines>45</Lines>
  <Paragraphs>12</Paragraphs>
  <ScaleCrop>false</ScaleCrop>
  <Company>Case Western Reserve University</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Aage Brandt</dc:creator>
  <cp:keywords/>
  <cp:lastModifiedBy>Austin Bennett</cp:lastModifiedBy>
  <cp:revision>2</cp:revision>
  <dcterms:created xsi:type="dcterms:W3CDTF">2010-11-27T20:44:00Z</dcterms:created>
  <dcterms:modified xsi:type="dcterms:W3CDTF">2010-11-27T20:44:00Z</dcterms:modified>
</cp:coreProperties>
</file>